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0B05" w:rsidR="00322A86" w:rsidRDefault="000A05FF" w14:paraId="376BE93A" w14:textId="48369D67">
      <w:pPr>
        <w:rPr>
          <w:b w:val="1"/>
          <w:bCs w:val="1"/>
          <w:sz w:val="40"/>
          <w:szCs w:val="40"/>
        </w:rPr>
      </w:pPr>
      <w:r w:rsidRPr="08F0060D" w:rsidR="1ED94E1A">
        <w:rPr>
          <w:b w:val="1"/>
          <w:bCs w:val="1"/>
          <w:sz w:val="40"/>
          <w:szCs w:val="40"/>
        </w:rPr>
        <w:t xml:space="preserve">Sample </w:t>
      </w:r>
      <w:r w:rsidRPr="08F0060D" w:rsidR="000A05FF">
        <w:rPr>
          <w:b w:val="1"/>
          <w:bCs w:val="1"/>
          <w:sz w:val="40"/>
          <w:szCs w:val="40"/>
        </w:rPr>
        <w:t xml:space="preserve">Rubric for Generic Award Standard NFQ Level </w:t>
      </w:r>
      <w:r w:rsidRPr="08F0060D" w:rsidR="005F7A0A">
        <w:rPr>
          <w:b w:val="1"/>
          <w:bCs w:val="1"/>
          <w:sz w:val="40"/>
          <w:szCs w:val="40"/>
        </w:rPr>
        <w:t>8</w:t>
      </w:r>
      <w:r w:rsidRPr="08F0060D" w:rsidR="1759C6D2">
        <w:rPr>
          <w:b w:val="1"/>
          <w:bCs w:val="1"/>
          <w:sz w:val="40"/>
          <w:szCs w:val="40"/>
        </w:rPr>
        <w:t xml:space="preserve"> Feedback</w:t>
      </w:r>
    </w:p>
    <w:p w:rsidRPr="00FF5991" w:rsidR="00D10B05" w:rsidRDefault="00D10B05" w14:paraId="19F2A489" w14:textId="094404B6">
      <w:pPr>
        <w:rPr>
          <w:b/>
          <w:bCs/>
          <w:color w:val="0070C0"/>
          <w:sz w:val="32"/>
          <w:szCs w:val="32"/>
        </w:rPr>
      </w:pPr>
      <w:r w:rsidRPr="00FF5991">
        <w:rPr>
          <w:b/>
          <w:bCs/>
          <w:color w:val="0070C0"/>
          <w:sz w:val="32"/>
          <w:szCs w:val="32"/>
        </w:rPr>
        <w:t>Applicant and Process Details</w:t>
      </w:r>
    </w:p>
    <w:tbl>
      <w:tblPr>
        <w:tblStyle w:val="TableGrid"/>
        <w:tblW w:w="0" w:type="auto"/>
        <w:tblLook w:val="04A0" w:firstRow="1" w:lastRow="0" w:firstColumn="1" w:lastColumn="0" w:noHBand="0" w:noVBand="1"/>
      </w:tblPr>
      <w:tblGrid>
        <w:gridCol w:w="2263"/>
        <w:gridCol w:w="5103"/>
      </w:tblGrid>
      <w:tr w:rsidR="008E5CD0" w:rsidTr="00CB00F0" w14:paraId="5871EB9E" w14:textId="77777777">
        <w:tc>
          <w:tcPr>
            <w:tcW w:w="2263" w:type="dxa"/>
            <w:shd w:val="clear" w:color="auto" w:fill="F2F2F2" w:themeFill="background1" w:themeFillShade="F2"/>
          </w:tcPr>
          <w:p w:rsidRPr="008E5CD0" w:rsidR="008E5CD0" w:rsidP="00EC17E2" w:rsidRDefault="008E5CD0" w14:paraId="6BBE0D56" w14:textId="1146E345">
            <w:pPr>
              <w:spacing w:before="60" w:after="60"/>
              <w:rPr>
                <w:b/>
                <w:bCs/>
              </w:rPr>
            </w:pPr>
            <w:r w:rsidRPr="008E5CD0">
              <w:rPr>
                <w:b/>
                <w:bCs/>
              </w:rPr>
              <w:t>Applicant</w:t>
            </w:r>
          </w:p>
        </w:tc>
        <w:tc>
          <w:tcPr>
            <w:tcW w:w="5103" w:type="dxa"/>
          </w:tcPr>
          <w:p w:rsidRPr="008E5CD0" w:rsidR="008E5CD0" w:rsidP="00EC17E2" w:rsidRDefault="008E5CD0" w14:paraId="65E334EA" w14:textId="6961777B">
            <w:pPr>
              <w:spacing w:before="60" w:after="60"/>
              <w:rPr>
                <w:b/>
                <w:bCs/>
              </w:rPr>
            </w:pPr>
          </w:p>
        </w:tc>
      </w:tr>
      <w:tr w:rsidR="002B24ED" w:rsidTr="00CB00F0" w14:paraId="350BD9B9" w14:textId="77777777">
        <w:tc>
          <w:tcPr>
            <w:tcW w:w="2263" w:type="dxa"/>
            <w:shd w:val="clear" w:color="auto" w:fill="F2F2F2" w:themeFill="background1" w:themeFillShade="F2"/>
          </w:tcPr>
          <w:p w:rsidRPr="008E5CD0" w:rsidR="002B24ED" w:rsidP="002B24ED" w:rsidRDefault="002B24ED" w14:paraId="25CC04A0" w14:textId="35E4CB09">
            <w:pPr>
              <w:spacing w:before="60" w:after="60"/>
              <w:rPr>
                <w:b/>
                <w:bCs/>
              </w:rPr>
            </w:pPr>
            <w:r w:rsidRPr="008E5CD0">
              <w:rPr>
                <w:b/>
                <w:bCs/>
              </w:rPr>
              <w:t>Programme</w:t>
            </w:r>
          </w:p>
        </w:tc>
        <w:tc>
          <w:tcPr>
            <w:tcW w:w="5103" w:type="dxa"/>
          </w:tcPr>
          <w:p w:rsidRPr="008E5CD0" w:rsidR="002B24ED" w:rsidP="002B24ED" w:rsidRDefault="002B24ED" w14:paraId="351656C7" w14:textId="2FC2C60C">
            <w:pPr>
              <w:spacing w:before="60" w:after="60"/>
              <w:rPr>
                <w:b/>
                <w:bCs/>
              </w:rPr>
            </w:pPr>
            <w:r w:rsidRPr="006249CC">
              <w:rPr>
                <w:b/>
                <w:bCs/>
              </w:rPr>
              <w:t>Postgraduate Certificate in Quantitative Methods &amp; Data Analysis for Healthcare</w:t>
            </w:r>
          </w:p>
        </w:tc>
      </w:tr>
      <w:tr w:rsidR="002B24ED" w:rsidTr="00CB00F0" w14:paraId="504F2413" w14:textId="77777777">
        <w:tc>
          <w:tcPr>
            <w:tcW w:w="2263" w:type="dxa"/>
            <w:shd w:val="clear" w:color="auto" w:fill="F2F2F2" w:themeFill="background1" w:themeFillShade="F2"/>
          </w:tcPr>
          <w:p w:rsidRPr="008E5CD0" w:rsidR="002B24ED" w:rsidP="002B24ED" w:rsidRDefault="002B24ED" w14:paraId="6C3A209D" w14:textId="467EA59B">
            <w:pPr>
              <w:spacing w:before="60" w:after="60"/>
              <w:rPr>
                <w:b/>
                <w:bCs/>
              </w:rPr>
            </w:pPr>
            <w:r w:rsidRPr="008E5CD0">
              <w:rPr>
                <w:b/>
                <w:bCs/>
              </w:rPr>
              <w:t>Date</w:t>
            </w:r>
          </w:p>
        </w:tc>
        <w:tc>
          <w:tcPr>
            <w:tcW w:w="5103" w:type="dxa"/>
          </w:tcPr>
          <w:p w:rsidRPr="008E5CD0" w:rsidR="002B24ED" w:rsidP="002B24ED" w:rsidRDefault="002B24ED" w14:paraId="25E4A9B4" w14:textId="5E34769A">
            <w:pPr>
              <w:spacing w:before="60" w:after="60"/>
              <w:rPr>
                <w:b/>
                <w:bCs/>
              </w:rPr>
            </w:pPr>
            <w:r>
              <w:rPr>
                <w:b/>
                <w:bCs/>
              </w:rPr>
              <w:t>30/08/2024</w:t>
            </w:r>
          </w:p>
        </w:tc>
      </w:tr>
      <w:tr w:rsidR="002B24ED" w:rsidTr="00CB00F0" w14:paraId="04F472D8" w14:textId="77777777">
        <w:tc>
          <w:tcPr>
            <w:tcW w:w="2263" w:type="dxa"/>
            <w:shd w:val="clear" w:color="auto" w:fill="F2F2F2" w:themeFill="background1" w:themeFillShade="F2"/>
          </w:tcPr>
          <w:p w:rsidRPr="008E5CD0" w:rsidR="002B24ED" w:rsidP="002B24ED" w:rsidRDefault="002B24ED" w14:paraId="65CD1251" w14:textId="4A5E5F7C">
            <w:pPr>
              <w:spacing w:before="60" w:after="60"/>
              <w:rPr>
                <w:b/>
                <w:bCs/>
              </w:rPr>
            </w:pPr>
            <w:r w:rsidRPr="008E5CD0">
              <w:rPr>
                <w:b/>
                <w:bCs/>
              </w:rPr>
              <w:t>Assessment Details</w:t>
            </w:r>
          </w:p>
        </w:tc>
        <w:tc>
          <w:tcPr>
            <w:tcW w:w="5103" w:type="dxa"/>
          </w:tcPr>
          <w:p w:rsidR="002B24ED" w:rsidP="002B24ED" w:rsidRDefault="002B24ED" w14:paraId="08EE2D1C" w14:textId="77777777">
            <w:pPr>
              <w:pStyle w:val="ListParagraph"/>
              <w:numPr>
                <w:ilvl w:val="0"/>
                <w:numId w:val="1"/>
              </w:numPr>
              <w:spacing w:before="60" w:after="60"/>
              <w:rPr>
                <w:b/>
                <w:bCs/>
              </w:rPr>
            </w:pPr>
            <w:r w:rsidRPr="006249CC">
              <w:rPr>
                <w:b/>
                <w:bCs/>
              </w:rPr>
              <w:t>Course Coordinator reviewed completed application</w:t>
            </w:r>
            <w:r>
              <w:rPr>
                <w:b/>
                <w:bCs/>
              </w:rPr>
              <w:t>,</w:t>
            </w:r>
          </w:p>
          <w:p w:rsidR="002B24ED" w:rsidP="002B24ED" w:rsidRDefault="002B24ED" w14:paraId="1273BF9F" w14:textId="77777777">
            <w:pPr>
              <w:pStyle w:val="ListParagraph"/>
              <w:numPr>
                <w:ilvl w:val="0"/>
                <w:numId w:val="1"/>
              </w:numPr>
              <w:spacing w:before="60" w:after="60"/>
              <w:rPr>
                <w:b/>
                <w:bCs/>
              </w:rPr>
            </w:pPr>
            <w:r>
              <w:rPr>
                <w:b/>
                <w:bCs/>
              </w:rPr>
              <w:t>Informal communication with candidate to assess suitability for the programme,</w:t>
            </w:r>
          </w:p>
          <w:p w:rsidRPr="002B24ED" w:rsidR="002B24ED" w:rsidP="002B24ED" w:rsidRDefault="002B24ED" w14:paraId="6F615B32" w14:textId="1F0809FC">
            <w:pPr>
              <w:pStyle w:val="ListParagraph"/>
              <w:numPr>
                <w:ilvl w:val="0"/>
                <w:numId w:val="1"/>
              </w:numPr>
              <w:spacing w:before="60" w:after="60"/>
              <w:rPr>
                <w:b/>
                <w:bCs/>
              </w:rPr>
            </w:pPr>
            <w:r w:rsidRPr="002B24ED">
              <w:rPr>
                <w:b/>
                <w:bCs/>
              </w:rPr>
              <w:t>Tailored technical assessment was reviewed and met all criteria relevant for the programme</w:t>
            </w:r>
          </w:p>
        </w:tc>
      </w:tr>
    </w:tbl>
    <w:p w:rsidR="008E5CD0" w:rsidP="00FF5991" w:rsidRDefault="008E5CD0" w14:paraId="53F17FDE" w14:textId="77777777">
      <w:pPr>
        <w:spacing w:after="0"/>
        <w:rPr>
          <w:b/>
          <w:bCs/>
          <w:sz w:val="32"/>
          <w:szCs w:val="32"/>
        </w:rPr>
      </w:pPr>
    </w:p>
    <w:p w:rsidR="00D10B05" w:rsidP="00FF5991" w:rsidRDefault="00D10B05" w14:paraId="77DB13EF" w14:textId="501CF168">
      <w:pPr>
        <w:rPr>
          <w:b/>
          <w:bCs/>
          <w:color w:val="0070C0"/>
          <w:sz w:val="32"/>
          <w:szCs w:val="32"/>
        </w:rPr>
      </w:pPr>
      <w:r w:rsidRPr="00FF5991">
        <w:rPr>
          <w:b/>
          <w:bCs/>
          <w:color w:val="0070C0"/>
          <w:sz w:val="32"/>
          <w:szCs w:val="32"/>
        </w:rPr>
        <w:t xml:space="preserve">QQI NFQ Level </w:t>
      </w:r>
      <w:r w:rsidR="005F7A0A">
        <w:rPr>
          <w:b/>
          <w:bCs/>
          <w:color w:val="0070C0"/>
          <w:sz w:val="32"/>
          <w:szCs w:val="32"/>
        </w:rPr>
        <w:t>8</w:t>
      </w:r>
      <w:r w:rsidRPr="00FF5991">
        <w:rPr>
          <w:b/>
          <w:bCs/>
          <w:color w:val="0070C0"/>
          <w:sz w:val="32"/>
          <w:szCs w:val="32"/>
        </w:rPr>
        <w:t xml:space="preserve"> Award Standard</w:t>
      </w:r>
    </w:p>
    <w:p w:rsidR="00C9180F" w:rsidP="00C9180F" w:rsidRDefault="00C9180F" w14:paraId="6417C7FE" w14:textId="558339B5">
      <w:r>
        <w:rPr>
          <w:i/>
          <w:iCs/>
        </w:rPr>
        <w:t>(Awards Standards - Generic Higher Education and Training, QQI July 2014/HS4</w:t>
      </w:r>
      <w:r>
        <w:t xml:space="preserve">) </w:t>
      </w:r>
    </w:p>
    <w:tbl>
      <w:tblPr>
        <w:tblStyle w:val="TableGrid"/>
        <w:tblW w:w="0" w:type="auto"/>
        <w:tblLook w:val="04A0" w:firstRow="1" w:lastRow="0" w:firstColumn="1" w:lastColumn="0" w:noHBand="0" w:noVBand="1"/>
      </w:tblPr>
      <w:tblGrid>
        <w:gridCol w:w="1555"/>
        <w:gridCol w:w="12332"/>
      </w:tblGrid>
      <w:tr w:rsidR="00D10B05" w:rsidTr="00CD3E7F" w14:paraId="05D1A8F8" w14:textId="77777777">
        <w:tc>
          <w:tcPr>
            <w:tcW w:w="1555" w:type="dxa"/>
            <w:shd w:val="clear" w:color="auto" w:fill="F2F2F2" w:themeFill="background1" w:themeFillShade="F2"/>
          </w:tcPr>
          <w:p w:rsidRPr="00EC17E2" w:rsidR="00D10B05" w:rsidP="00CD3E7F" w:rsidRDefault="00D10B05" w14:paraId="4087E5AB" w14:textId="77777777">
            <w:pPr>
              <w:spacing w:before="60" w:after="60"/>
              <w:rPr>
                <w:b/>
                <w:bCs/>
              </w:rPr>
            </w:pPr>
            <w:r w:rsidRPr="00EC17E2">
              <w:rPr>
                <w:b/>
                <w:bCs/>
              </w:rPr>
              <w:t>Award Title</w:t>
            </w:r>
          </w:p>
        </w:tc>
        <w:tc>
          <w:tcPr>
            <w:tcW w:w="12332" w:type="dxa"/>
          </w:tcPr>
          <w:p w:rsidR="00D10B05" w:rsidP="00CD3E7F" w:rsidRDefault="00753B3F" w14:paraId="38829D19" w14:textId="3694A8CA">
            <w:pPr>
              <w:spacing w:before="60" w:after="60"/>
            </w:pPr>
            <w:r>
              <w:t>Honours</w:t>
            </w:r>
            <w:r w:rsidR="00D10B05">
              <w:t xml:space="preserve"> </w:t>
            </w:r>
            <w:proofErr w:type="gramStart"/>
            <w:r w:rsidR="00D10B05">
              <w:t>Bachelor Degree</w:t>
            </w:r>
            <w:proofErr w:type="gramEnd"/>
            <w:r w:rsidR="00D10B05">
              <w:t xml:space="preserve"> (Generic)</w:t>
            </w:r>
          </w:p>
        </w:tc>
      </w:tr>
      <w:tr w:rsidR="00D10B05" w:rsidTr="00CD3E7F" w14:paraId="754F3844" w14:textId="77777777">
        <w:tc>
          <w:tcPr>
            <w:tcW w:w="1555" w:type="dxa"/>
            <w:shd w:val="clear" w:color="auto" w:fill="F2F2F2" w:themeFill="background1" w:themeFillShade="F2"/>
          </w:tcPr>
          <w:p w:rsidRPr="00EC17E2" w:rsidR="00D10B05" w:rsidP="00CD3E7F" w:rsidRDefault="00D10B05" w14:paraId="574BE040" w14:textId="77777777">
            <w:pPr>
              <w:spacing w:before="60" w:after="60"/>
              <w:rPr>
                <w:b/>
                <w:bCs/>
              </w:rPr>
            </w:pPr>
            <w:r w:rsidRPr="00EC17E2">
              <w:rPr>
                <w:b/>
                <w:bCs/>
              </w:rPr>
              <w:t>Purpose</w:t>
            </w:r>
          </w:p>
        </w:tc>
        <w:tc>
          <w:tcPr>
            <w:tcW w:w="12332" w:type="dxa"/>
          </w:tcPr>
          <w:p w:rsidR="00D10B05" w:rsidP="00CD3E7F" w:rsidRDefault="00A24886" w14:paraId="14E6CCE5" w14:textId="1A868635">
            <w:pPr>
              <w:spacing w:before="60" w:after="60"/>
            </w:pPr>
            <w:r>
              <w:t>This is a multi-purpose award-type. The knowledge, skill and competence acquired are relevant to personal development, participation in society and community, employment, and access to additional education and training.</w:t>
            </w:r>
          </w:p>
        </w:tc>
      </w:tr>
      <w:tr w:rsidR="00D10B05" w:rsidTr="00CD3E7F" w14:paraId="721906C1" w14:textId="77777777">
        <w:tc>
          <w:tcPr>
            <w:tcW w:w="1555" w:type="dxa"/>
            <w:shd w:val="clear" w:color="auto" w:fill="F2F2F2" w:themeFill="background1" w:themeFillShade="F2"/>
          </w:tcPr>
          <w:p w:rsidRPr="00EC17E2" w:rsidR="00D10B05" w:rsidP="00CD3E7F" w:rsidRDefault="00D10B05" w14:paraId="7B2E890D" w14:textId="77777777">
            <w:pPr>
              <w:spacing w:before="60" w:after="60"/>
              <w:rPr>
                <w:b/>
                <w:bCs/>
              </w:rPr>
            </w:pPr>
            <w:r w:rsidRPr="00EC17E2">
              <w:rPr>
                <w:b/>
                <w:bCs/>
              </w:rPr>
              <w:t>Level</w:t>
            </w:r>
          </w:p>
        </w:tc>
        <w:tc>
          <w:tcPr>
            <w:tcW w:w="12332" w:type="dxa"/>
          </w:tcPr>
          <w:p w:rsidR="00D10B05" w:rsidP="00CD3E7F" w:rsidRDefault="005F7A0A" w14:paraId="434CBDC5" w14:textId="416DE7DD">
            <w:pPr>
              <w:spacing w:before="60" w:after="60"/>
            </w:pPr>
            <w:r>
              <w:t>8</w:t>
            </w:r>
            <w:r w:rsidR="00D10B05">
              <w:t xml:space="preserve"> (Major Award)</w:t>
            </w:r>
          </w:p>
        </w:tc>
      </w:tr>
      <w:tr w:rsidR="00D10B05" w:rsidTr="00CD3E7F" w14:paraId="2464C12C" w14:textId="77777777">
        <w:tc>
          <w:tcPr>
            <w:tcW w:w="1555" w:type="dxa"/>
            <w:shd w:val="clear" w:color="auto" w:fill="F2F2F2" w:themeFill="background1" w:themeFillShade="F2"/>
          </w:tcPr>
          <w:p w:rsidRPr="00EC17E2" w:rsidR="00D10B05" w:rsidP="00CD3E7F" w:rsidRDefault="00D10B05" w14:paraId="4525124C" w14:textId="77777777">
            <w:pPr>
              <w:spacing w:before="60" w:after="60"/>
              <w:rPr>
                <w:b/>
                <w:bCs/>
              </w:rPr>
            </w:pPr>
            <w:r w:rsidRPr="00EC17E2">
              <w:rPr>
                <w:b/>
                <w:bCs/>
              </w:rPr>
              <w:t>Volume</w:t>
            </w:r>
          </w:p>
        </w:tc>
        <w:tc>
          <w:tcPr>
            <w:tcW w:w="12332" w:type="dxa"/>
          </w:tcPr>
          <w:p w:rsidR="00D10B05" w:rsidP="00CD3E7F" w:rsidRDefault="00D10B05" w14:paraId="3A3BD4F0" w14:textId="516E1713">
            <w:pPr>
              <w:spacing w:before="60" w:after="60"/>
            </w:pPr>
            <w:r>
              <w:t xml:space="preserve">ECTS (3x 60 ECTS minimum for Ordinary </w:t>
            </w:r>
            <w:proofErr w:type="gramStart"/>
            <w:r>
              <w:t>Bachelor Degree</w:t>
            </w:r>
            <w:proofErr w:type="gramEnd"/>
            <w:r w:rsidR="004F5240">
              <w:t xml:space="preserve"> (Arts), all others 4x 60 ECTS</w:t>
            </w:r>
            <w:r>
              <w:t>)</w:t>
            </w:r>
          </w:p>
        </w:tc>
      </w:tr>
    </w:tbl>
    <w:p w:rsidR="00D10B05" w:rsidP="00AC04F7" w:rsidRDefault="00D10B05" w14:paraId="1577C57B" w14:textId="77777777">
      <w:pPr>
        <w:spacing w:after="0"/>
        <w:rPr>
          <w:b/>
          <w:bCs/>
          <w:sz w:val="32"/>
          <w:szCs w:val="32"/>
        </w:rPr>
      </w:pPr>
    </w:p>
    <w:p w:rsidRPr="00FF5991" w:rsidR="008E5CD0" w:rsidRDefault="008E5CD0" w14:paraId="4B156328" w14:textId="64EE6D4A">
      <w:pPr>
        <w:rPr>
          <w:b/>
          <w:bCs/>
          <w:color w:val="0070C0"/>
          <w:sz w:val="32"/>
          <w:szCs w:val="32"/>
        </w:rPr>
      </w:pPr>
      <w:r w:rsidRPr="00FF5991">
        <w:rPr>
          <w:b/>
          <w:bCs/>
          <w:color w:val="0070C0"/>
          <w:sz w:val="32"/>
          <w:szCs w:val="32"/>
        </w:rPr>
        <w:t>RPL Evidence</w:t>
      </w:r>
      <w:r w:rsidRPr="00FF5991" w:rsidR="00CB00F0">
        <w:rPr>
          <w:b/>
          <w:bCs/>
          <w:color w:val="0070C0"/>
          <w:sz w:val="32"/>
          <w:szCs w:val="32"/>
        </w:rPr>
        <w:t xml:space="preserve"> Evaluation against Level </w:t>
      </w:r>
      <w:r w:rsidR="00A24886">
        <w:rPr>
          <w:b/>
          <w:bCs/>
          <w:color w:val="0070C0"/>
          <w:sz w:val="32"/>
          <w:szCs w:val="32"/>
        </w:rPr>
        <w:t>8</w:t>
      </w:r>
      <w:r w:rsidRPr="00FF5991" w:rsidR="00CB00F0">
        <w:rPr>
          <w:b/>
          <w:bCs/>
          <w:color w:val="0070C0"/>
          <w:sz w:val="32"/>
          <w:szCs w:val="32"/>
        </w:rPr>
        <w:t xml:space="preserve"> Standard</w:t>
      </w:r>
    </w:p>
    <w:p w:rsidR="000A05FF" w:rsidP="00A50209" w:rsidRDefault="008A1DBA" w14:paraId="2A40E6AF" w14:textId="1A5DC1EA">
      <w:pPr>
        <w:jc w:val="both"/>
      </w:pPr>
      <w:r>
        <w:t xml:space="preserve">It </w:t>
      </w:r>
      <w:r w:rsidR="008E51A0">
        <w:t>would be</w:t>
      </w:r>
      <w:r>
        <w:t xml:space="preserve"> expected that a generic Award at NFQ Level </w:t>
      </w:r>
      <w:r w:rsidR="00A24886">
        <w:t>8</w:t>
      </w:r>
      <w:r>
        <w:t xml:space="preserve">, </w:t>
      </w:r>
      <w:r w:rsidR="00E3226E">
        <w:t>equivalent</w:t>
      </w:r>
      <w:r>
        <w:t xml:space="preserve"> to an Ordinary </w:t>
      </w:r>
      <w:proofErr w:type="gramStart"/>
      <w:r w:rsidR="00E3226E">
        <w:t>Bachelor</w:t>
      </w:r>
      <w:r>
        <w:t xml:space="preserve"> Degree</w:t>
      </w:r>
      <w:proofErr w:type="gramEnd"/>
      <w:r>
        <w:t>, would</w:t>
      </w:r>
      <w:r w:rsidR="008E51A0">
        <w:t xml:space="preserve"> be associated with the following graduate attributes across </w:t>
      </w:r>
      <w:r w:rsidR="00F7028B">
        <w:t xml:space="preserve">the categories of </w:t>
      </w:r>
      <w:r w:rsidR="008E51A0">
        <w:t xml:space="preserve">Knowledge, Skill and Competence. </w:t>
      </w:r>
    </w:p>
    <w:tbl>
      <w:tblPr>
        <w:tblStyle w:val="TableGrid"/>
        <w:tblW w:w="0" w:type="auto"/>
        <w:tblLook w:val="04A0" w:firstRow="1" w:lastRow="0" w:firstColumn="1" w:lastColumn="0" w:noHBand="0" w:noVBand="1"/>
      </w:tblPr>
      <w:tblGrid>
        <w:gridCol w:w="3114"/>
        <w:gridCol w:w="4819"/>
        <w:gridCol w:w="6015"/>
      </w:tblGrid>
      <w:tr w:rsidRPr="00B93D94" w:rsidR="00AC04F7" w:rsidTr="0009536A" w14:paraId="79DFD750" w14:textId="77777777">
        <w:trPr>
          <w:tblHeader/>
        </w:trPr>
        <w:tc>
          <w:tcPr>
            <w:tcW w:w="3114" w:type="dxa"/>
            <w:shd w:val="clear" w:color="auto" w:fill="F2F2F2" w:themeFill="background1" w:themeFillShade="F2"/>
            <w:vAlign w:val="center"/>
          </w:tcPr>
          <w:p w:rsidRPr="00B93D94" w:rsidR="00AC04F7" w:rsidP="00C9180F" w:rsidRDefault="00D323D1" w14:paraId="3C4DFD5F" w14:textId="32F760B0">
            <w:pPr>
              <w:spacing w:before="120" w:after="120"/>
              <w:rPr>
                <w:b/>
                <w:bCs/>
              </w:rPr>
            </w:pPr>
            <w:r w:rsidRPr="00B93D94">
              <w:rPr>
                <w:b/>
                <w:bCs/>
              </w:rPr>
              <w:t>Criteria Strand</w:t>
            </w:r>
          </w:p>
        </w:tc>
        <w:tc>
          <w:tcPr>
            <w:tcW w:w="4819" w:type="dxa"/>
            <w:shd w:val="clear" w:color="auto" w:fill="F2F2F2" w:themeFill="background1" w:themeFillShade="F2"/>
            <w:vAlign w:val="center"/>
          </w:tcPr>
          <w:p w:rsidRPr="00B93D94" w:rsidR="00AC04F7" w:rsidP="00C9180F" w:rsidRDefault="00D323D1" w14:paraId="16FDFAB5" w14:textId="54DC88EF">
            <w:pPr>
              <w:spacing w:before="120" w:after="120"/>
              <w:rPr>
                <w:b/>
                <w:bCs/>
              </w:rPr>
            </w:pPr>
            <w:r w:rsidRPr="00B93D94">
              <w:rPr>
                <w:b/>
                <w:bCs/>
              </w:rPr>
              <w:t>Description</w:t>
            </w:r>
          </w:p>
        </w:tc>
        <w:tc>
          <w:tcPr>
            <w:tcW w:w="6015" w:type="dxa"/>
            <w:shd w:val="clear" w:color="auto" w:fill="F2F2F2" w:themeFill="background1" w:themeFillShade="F2"/>
            <w:vAlign w:val="center"/>
          </w:tcPr>
          <w:p w:rsidRPr="00B93D94" w:rsidR="00AC04F7" w:rsidP="00C9180F" w:rsidRDefault="00B93D94" w14:paraId="2887B963" w14:textId="2DC0692D">
            <w:pPr>
              <w:spacing w:before="120" w:after="120"/>
              <w:rPr>
                <w:b/>
                <w:bCs/>
              </w:rPr>
            </w:pPr>
            <w:r w:rsidRPr="00B93D94">
              <w:rPr>
                <w:b/>
                <w:bCs/>
              </w:rPr>
              <w:t xml:space="preserve">RPL Evidence </w:t>
            </w:r>
            <w:r w:rsidRPr="00B93D94" w:rsidR="00D323D1">
              <w:rPr>
                <w:b/>
                <w:bCs/>
              </w:rPr>
              <w:t>Evaluation (Comment)</w:t>
            </w:r>
          </w:p>
        </w:tc>
      </w:tr>
      <w:tr w:rsidR="00D323D1" w:rsidTr="0009536A" w14:paraId="07B31DB7" w14:textId="77777777">
        <w:tc>
          <w:tcPr>
            <w:tcW w:w="3114" w:type="dxa"/>
            <w:vAlign w:val="center"/>
          </w:tcPr>
          <w:p w:rsidRPr="00B93D94" w:rsidR="00D323D1" w:rsidP="00C9180F" w:rsidRDefault="008B7824" w14:paraId="0C189B6D" w14:textId="5BCF7F9F">
            <w:pPr>
              <w:spacing w:before="120" w:after="120"/>
              <w:rPr>
                <w:b/>
                <w:bCs/>
              </w:rPr>
            </w:pPr>
            <w:r w:rsidRPr="00B93D94">
              <w:rPr>
                <w:b/>
                <w:bCs/>
              </w:rPr>
              <w:t>Knowledge – breadth</w:t>
            </w:r>
          </w:p>
        </w:tc>
        <w:tc>
          <w:tcPr>
            <w:tcW w:w="4819" w:type="dxa"/>
            <w:vAlign w:val="center"/>
          </w:tcPr>
          <w:p w:rsidR="00D323D1" w:rsidP="00C9180F" w:rsidRDefault="007878E7" w14:paraId="270F54B4" w14:textId="5DC43310">
            <w:pPr>
              <w:spacing w:before="120" w:after="120"/>
            </w:pPr>
            <w:r>
              <w:t>An understanding of the theory, concepts and methods pertaining to a field (or fields) of learning</w:t>
            </w:r>
          </w:p>
        </w:tc>
        <w:tc>
          <w:tcPr>
            <w:tcW w:w="6015" w:type="dxa"/>
            <w:vAlign w:val="center"/>
          </w:tcPr>
          <w:p w:rsidR="00D323D1" w:rsidP="00A60A64" w:rsidRDefault="002037B7" w14:paraId="12314866" w14:textId="395745DA">
            <w:r>
              <w:t>The candidate has 10 years of data analytics experience</w:t>
            </w:r>
            <w:r w:rsidRPr="002037B7">
              <w:t xml:space="preserve"> in a broad and varied </w:t>
            </w:r>
            <w:commentRangeStart w:id="0"/>
            <w:r w:rsidRPr="002037B7">
              <w:t>range of healthcare data</w:t>
            </w:r>
            <w:commentRangeEnd w:id="0"/>
            <w:r w:rsidR="003844F6">
              <w:rPr>
                <w:rStyle w:val="CommentReference"/>
              </w:rPr>
              <w:commentReference w:id="0"/>
            </w:r>
            <w:r>
              <w:t xml:space="preserve">. Currently, the candidate is working as a Data Analyst in </w:t>
            </w:r>
            <w:proofErr w:type="spellStart"/>
            <w:r w:rsidRPr="002037B7">
              <w:t>Saolta</w:t>
            </w:r>
            <w:proofErr w:type="spellEnd"/>
            <w:r w:rsidRPr="002037B7">
              <w:t xml:space="preserve"> University Health Care Group</w:t>
            </w:r>
            <w:r>
              <w:t xml:space="preserve"> for the HSE. </w:t>
            </w:r>
          </w:p>
        </w:tc>
      </w:tr>
      <w:tr w:rsidR="00D323D1" w:rsidTr="0009536A" w14:paraId="2E975B4D" w14:textId="77777777">
        <w:tc>
          <w:tcPr>
            <w:tcW w:w="3114" w:type="dxa"/>
            <w:vAlign w:val="center"/>
          </w:tcPr>
          <w:p w:rsidRPr="00B93D94" w:rsidR="00D323D1" w:rsidP="00C9180F" w:rsidRDefault="00001C6A" w14:paraId="37210AE5" w14:textId="3542A6C4">
            <w:pPr>
              <w:spacing w:before="120" w:after="120"/>
              <w:rPr>
                <w:b/>
                <w:bCs/>
              </w:rPr>
            </w:pPr>
            <w:r w:rsidRPr="00B93D94">
              <w:rPr>
                <w:b/>
                <w:bCs/>
              </w:rPr>
              <w:t xml:space="preserve">Knowledge – </w:t>
            </w:r>
            <w:r w:rsidR="0009536A">
              <w:rPr>
                <w:b/>
                <w:bCs/>
              </w:rPr>
              <w:t>k</w:t>
            </w:r>
            <w:r w:rsidRPr="00B93D94">
              <w:rPr>
                <w:b/>
                <w:bCs/>
              </w:rPr>
              <w:t>ind</w:t>
            </w:r>
          </w:p>
        </w:tc>
        <w:tc>
          <w:tcPr>
            <w:tcW w:w="4819" w:type="dxa"/>
            <w:vAlign w:val="center"/>
          </w:tcPr>
          <w:p w:rsidR="00D323D1" w:rsidP="00C9180F" w:rsidRDefault="00256B73" w14:paraId="09ABB236" w14:textId="1C8BB7E1">
            <w:pPr>
              <w:spacing w:before="120" w:after="120"/>
            </w:pPr>
            <w:r>
              <w:t>Detailed knowledge and understanding in one or more specialised areas, some of it at the current boundaries of the field(s)</w:t>
            </w:r>
          </w:p>
        </w:tc>
        <w:tc>
          <w:tcPr>
            <w:tcW w:w="6015" w:type="dxa"/>
            <w:vAlign w:val="center"/>
          </w:tcPr>
          <w:p w:rsidR="00D323D1" w:rsidP="00A60A64" w:rsidRDefault="002037B7" w14:paraId="1AE06BE1" w14:textId="51A934C2">
            <w:r>
              <w:t xml:space="preserve">As demonstrated by </w:t>
            </w:r>
            <w:r w:rsidR="00A60A64">
              <w:t>her reference letter, t</w:t>
            </w:r>
            <w:r>
              <w:t xml:space="preserve">he candidate has a natural aptitude for data analytics and has developed and implemented a wide range of tools to capture data which are integral to the operations of the individual hospitals within and across the </w:t>
            </w:r>
            <w:proofErr w:type="spellStart"/>
            <w:r>
              <w:t>Saolta</w:t>
            </w:r>
            <w:proofErr w:type="spellEnd"/>
            <w:r>
              <w:t xml:space="preserve"> group. This data and the accompanying dashboards she </w:t>
            </w:r>
            <w:proofErr w:type="gramStart"/>
            <w:r w:rsidR="00A60A64">
              <w:t>has</w:t>
            </w:r>
            <w:proofErr w:type="gramEnd"/>
            <w:r>
              <w:t xml:space="preserve"> created are used for analysing a wide range of metrics including the length of stay of our patients and how best to improve on this.</w:t>
            </w:r>
          </w:p>
        </w:tc>
      </w:tr>
      <w:tr w:rsidR="00D323D1" w:rsidTr="0009536A" w14:paraId="2759F6B4" w14:textId="77777777">
        <w:tc>
          <w:tcPr>
            <w:tcW w:w="3114" w:type="dxa"/>
            <w:vAlign w:val="center"/>
          </w:tcPr>
          <w:p w:rsidRPr="00B93D94" w:rsidR="00D323D1" w:rsidP="00C9180F" w:rsidRDefault="00001C6A" w14:paraId="7A56B699" w14:textId="7BC9A4E5">
            <w:pPr>
              <w:spacing w:before="120" w:after="120"/>
              <w:rPr>
                <w:b/>
                <w:bCs/>
              </w:rPr>
            </w:pPr>
            <w:r w:rsidRPr="00B93D94">
              <w:rPr>
                <w:b/>
                <w:bCs/>
              </w:rPr>
              <w:t>K</w:t>
            </w:r>
            <w:r w:rsidRPr="00B93D94" w:rsidR="00A676F4">
              <w:rPr>
                <w:b/>
                <w:bCs/>
              </w:rPr>
              <w:t>now-how and skill-range</w:t>
            </w:r>
          </w:p>
        </w:tc>
        <w:tc>
          <w:tcPr>
            <w:tcW w:w="4819" w:type="dxa"/>
            <w:vAlign w:val="center"/>
          </w:tcPr>
          <w:p w:rsidR="00D323D1" w:rsidP="00C9180F" w:rsidRDefault="00256B73" w14:paraId="6BA80E7B" w14:textId="45BBC274">
            <w:pPr>
              <w:spacing w:before="120" w:after="120"/>
            </w:pPr>
            <w:r>
              <w:t>Demonstrate mastery of a complex and specialised area of skills and tools; use and modify advanced skills and tools to conduct closely guided research, professional or advanced technical activity</w:t>
            </w:r>
          </w:p>
        </w:tc>
        <w:tc>
          <w:tcPr>
            <w:tcW w:w="6015" w:type="dxa"/>
            <w:vAlign w:val="center"/>
          </w:tcPr>
          <w:p w:rsidR="00D323D1" w:rsidP="00A60A64" w:rsidRDefault="00A60A64" w14:paraId="29406B1D" w14:textId="0B4C98EB">
            <w:r>
              <w:t xml:space="preserve">The candidate uses advanced data analytics tools and programming language </w:t>
            </w:r>
            <w:proofErr w:type="gramStart"/>
            <w:r>
              <w:t>on a daily basis</w:t>
            </w:r>
            <w:proofErr w:type="gramEnd"/>
            <w:r>
              <w:t xml:space="preserve"> in his current role. She has also completed training in </w:t>
            </w:r>
            <w:r w:rsidRPr="00A60A64">
              <w:t xml:space="preserve">MOSAIQ Reporting Introduction &amp; Intermediate using </w:t>
            </w:r>
            <w:commentRangeStart w:id="1"/>
            <w:r w:rsidRPr="00A60A64">
              <w:t>SQL</w:t>
            </w:r>
            <w:commentRangeEnd w:id="1"/>
            <w:r w:rsidR="00BB3418">
              <w:rPr>
                <w:rStyle w:val="CommentReference"/>
              </w:rPr>
              <w:commentReference w:id="1"/>
            </w:r>
            <w:r>
              <w:t xml:space="preserve"> and Advanced Excel. Evidence of this can be seen in the candidates’ technical assignment, and CV. </w:t>
            </w:r>
          </w:p>
        </w:tc>
      </w:tr>
      <w:tr w:rsidR="00D323D1" w:rsidTr="0009536A" w14:paraId="0DE3C1BC" w14:textId="77777777">
        <w:tc>
          <w:tcPr>
            <w:tcW w:w="3114" w:type="dxa"/>
            <w:vAlign w:val="center"/>
          </w:tcPr>
          <w:p w:rsidRPr="00B93D94" w:rsidR="00D323D1" w:rsidP="00C9180F" w:rsidRDefault="00C37FE0" w14:paraId="222E9EB6" w14:textId="4DD1369A">
            <w:pPr>
              <w:spacing w:before="120" w:after="120"/>
              <w:rPr>
                <w:b/>
                <w:bCs/>
              </w:rPr>
            </w:pPr>
            <w:r w:rsidRPr="00B93D94">
              <w:rPr>
                <w:b/>
                <w:bCs/>
              </w:rPr>
              <w:t>Know-how and skill</w:t>
            </w:r>
            <w:r w:rsidR="00C821D4">
              <w:rPr>
                <w:b/>
                <w:bCs/>
              </w:rPr>
              <w:t>-</w:t>
            </w:r>
            <w:r w:rsidRPr="00B93D94">
              <w:rPr>
                <w:b/>
                <w:bCs/>
              </w:rPr>
              <w:t>selectivity</w:t>
            </w:r>
          </w:p>
        </w:tc>
        <w:tc>
          <w:tcPr>
            <w:tcW w:w="4819" w:type="dxa"/>
            <w:vAlign w:val="center"/>
          </w:tcPr>
          <w:p w:rsidR="00D323D1" w:rsidP="00C9180F" w:rsidRDefault="00256B73" w14:paraId="718B802F" w14:textId="240D8EB7">
            <w:pPr>
              <w:spacing w:before="120" w:after="120"/>
            </w:pPr>
            <w:r>
              <w:t xml:space="preserve">Exercise appropriate judgement in </w:t>
            </w:r>
            <w:proofErr w:type="gramStart"/>
            <w:r>
              <w:t>a number of</w:t>
            </w:r>
            <w:proofErr w:type="gramEnd"/>
            <w:r>
              <w:t xml:space="preserve"> complex planning, design, technical and/ or management functions related to products, services, operations or processes, including resourcing</w:t>
            </w:r>
          </w:p>
        </w:tc>
        <w:tc>
          <w:tcPr>
            <w:tcW w:w="6015" w:type="dxa"/>
            <w:vAlign w:val="center"/>
          </w:tcPr>
          <w:p w:rsidR="00D323D1" w:rsidP="00C9180F" w:rsidRDefault="00A60A64" w14:paraId="0FC183A3" w14:textId="23BDED35">
            <w:pPr>
              <w:spacing w:before="120" w:after="120"/>
            </w:pPr>
            <w:r>
              <w:t>The candidate has developed a Day of Care assessment tool, enhancing a national methodology, which has allowed the hospitals to carry out bed utilisation studies in all hospital sites enabling early identification of areas in need of improvement, which in turn enhances timely patient flow.</w:t>
            </w:r>
          </w:p>
        </w:tc>
      </w:tr>
      <w:tr w:rsidR="00D323D1" w:rsidTr="0009536A" w14:paraId="2232ECA5" w14:textId="77777777">
        <w:tc>
          <w:tcPr>
            <w:tcW w:w="3114" w:type="dxa"/>
            <w:vAlign w:val="center"/>
          </w:tcPr>
          <w:p w:rsidRPr="00B93D94" w:rsidR="00D323D1" w:rsidP="00C9180F" w:rsidRDefault="00176473" w14:paraId="74F91884" w14:textId="39953B4F">
            <w:pPr>
              <w:spacing w:before="120" w:after="120"/>
              <w:rPr>
                <w:b/>
                <w:bCs/>
              </w:rPr>
            </w:pPr>
            <w:r w:rsidRPr="00B93D94">
              <w:rPr>
                <w:b/>
                <w:bCs/>
              </w:rPr>
              <w:t>Competence – context</w:t>
            </w:r>
          </w:p>
        </w:tc>
        <w:tc>
          <w:tcPr>
            <w:tcW w:w="4819" w:type="dxa"/>
            <w:vAlign w:val="center"/>
          </w:tcPr>
          <w:p w:rsidR="00D323D1" w:rsidP="00C9180F" w:rsidRDefault="00256B73" w14:paraId="132E6F60" w14:textId="741BF614">
            <w:pPr>
              <w:spacing w:before="120" w:after="120"/>
            </w:pPr>
            <w:r>
              <w:t xml:space="preserve">Use advanced skills to conduct research, or advanced technical or professional activity, accepting </w:t>
            </w:r>
            <w:proofErr w:type="gramStart"/>
            <w:r>
              <w:t>accountability</w:t>
            </w:r>
            <w:proofErr w:type="gramEnd"/>
            <w:r>
              <w:t xml:space="preserve"> for all related decision making; transfer and apply diagnostic and creative skills in a range of contexts</w:t>
            </w:r>
          </w:p>
        </w:tc>
        <w:tc>
          <w:tcPr>
            <w:tcW w:w="6015" w:type="dxa"/>
            <w:vAlign w:val="center"/>
          </w:tcPr>
          <w:p w:rsidR="0081391B" w:rsidP="0081391B" w:rsidRDefault="0081391B" w14:paraId="019FBF3C" w14:textId="77777777">
            <w:pPr>
              <w:spacing w:before="120" w:after="120"/>
            </w:pPr>
            <w:commentRangeStart w:id="2"/>
            <w:r>
              <w:t>The candidate daily tasks include:</w:t>
            </w:r>
            <w:commentRangeEnd w:id="2"/>
            <w:r w:rsidR="00114382">
              <w:rPr>
                <w:rStyle w:val="CommentReference"/>
              </w:rPr>
              <w:commentReference w:id="2"/>
            </w:r>
          </w:p>
          <w:p w:rsidR="0081391B" w:rsidP="0081391B" w:rsidRDefault="0081391B" w14:paraId="6DFCC96C" w14:textId="48911A03">
            <w:pPr>
              <w:pStyle w:val="ListParagraph"/>
              <w:numPr>
                <w:ilvl w:val="0"/>
                <w:numId w:val="2"/>
              </w:numPr>
              <w:spacing w:before="120" w:after="120"/>
            </w:pPr>
            <w:r>
              <w:t xml:space="preserve">Preparation and analysis of performance indicators/performance management reporting as required by the Senior Management Team for the </w:t>
            </w:r>
            <w:proofErr w:type="spellStart"/>
            <w:r>
              <w:t>Saolta</w:t>
            </w:r>
            <w:proofErr w:type="spellEnd"/>
            <w:r>
              <w:t xml:space="preserve"> Group</w:t>
            </w:r>
          </w:p>
          <w:p w:rsidR="0081391B" w:rsidP="0081391B" w:rsidRDefault="0081391B" w14:paraId="15C83065" w14:textId="164D8F08">
            <w:pPr>
              <w:pStyle w:val="ListParagraph"/>
              <w:numPr>
                <w:ilvl w:val="0"/>
                <w:numId w:val="2"/>
              </w:numPr>
              <w:spacing w:before="120" w:after="120"/>
            </w:pPr>
            <w:r>
              <w:t>Data mining, quality control (accuracy, consistency, reliability &amp; relevance) and report analysis for database queries to support the operational and strategic requirements of the Unscheduled and Scheduled Care</w:t>
            </w:r>
          </w:p>
          <w:p w:rsidR="00D323D1" w:rsidP="0081391B" w:rsidRDefault="0081391B" w14:paraId="77736D3E" w14:textId="089C7ACA">
            <w:pPr>
              <w:pStyle w:val="ListParagraph"/>
              <w:numPr>
                <w:ilvl w:val="0"/>
                <w:numId w:val="2"/>
              </w:numPr>
              <w:spacing w:before="120" w:after="120"/>
            </w:pPr>
            <w:r>
              <w:t>Creating dashboards/metrics to monitor and inform on performance and improvements</w:t>
            </w:r>
          </w:p>
        </w:tc>
      </w:tr>
      <w:tr w:rsidR="00D323D1" w:rsidTr="0009536A" w14:paraId="5DD623D2" w14:textId="77777777">
        <w:tc>
          <w:tcPr>
            <w:tcW w:w="3114" w:type="dxa"/>
            <w:vAlign w:val="center"/>
          </w:tcPr>
          <w:p w:rsidRPr="00B93D94" w:rsidR="00D323D1" w:rsidP="00C9180F" w:rsidRDefault="00B7193C" w14:paraId="651CCCDD" w14:textId="2A09B671">
            <w:pPr>
              <w:spacing w:before="120" w:after="120"/>
              <w:rPr>
                <w:b/>
                <w:bCs/>
              </w:rPr>
            </w:pPr>
            <w:r w:rsidRPr="00B93D94">
              <w:rPr>
                <w:b/>
                <w:bCs/>
              </w:rPr>
              <w:t>Competence – role</w:t>
            </w:r>
          </w:p>
        </w:tc>
        <w:tc>
          <w:tcPr>
            <w:tcW w:w="4819" w:type="dxa"/>
            <w:vAlign w:val="center"/>
          </w:tcPr>
          <w:p w:rsidR="00D323D1" w:rsidP="00C9180F" w:rsidRDefault="0009536A" w14:paraId="1CEC28CF" w14:textId="0D21AA5F">
            <w:pPr>
              <w:spacing w:before="120" w:after="120"/>
            </w:pPr>
            <w:r>
              <w:t xml:space="preserve">Act effectively under guidance in a peer relationship with qualified practitioners; lead multiple, </w:t>
            </w:r>
            <w:proofErr w:type="gramStart"/>
            <w:r>
              <w:t>complex</w:t>
            </w:r>
            <w:proofErr w:type="gramEnd"/>
            <w:r>
              <w:t xml:space="preserve"> and heterogeneous groups</w:t>
            </w:r>
          </w:p>
        </w:tc>
        <w:tc>
          <w:tcPr>
            <w:tcW w:w="6015" w:type="dxa"/>
            <w:vAlign w:val="center"/>
          </w:tcPr>
          <w:p w:rsidR="00D323D1" w:rsidP="00C9180F" w:rsidRDefault="001C0470" w14:paraId="2AE63D9B" w14:textId="2987F7C4">
            <w:pPr>
              <w:spacing w:before="120" w:after="120"/>
            </w:pPr>
            <w:r>
              <w:t xml:space="preserve">As per her recommendation </w:t>
            </w:r>
            <w:commentRangeStart w:id="3"/>
            <w:r>
              <w:t>letter</w:t>
            </w:r>
            <w:commentRangeEnd w:id="3"/>
            <w:r w:rsidR="005E6CB8">
              <w:rPr>
                <w:rStyle w:val="CommentReference"/>
              </w:rPr>
              <w:commentReference w:id="3"/>
            </w:r>
            <w:r w:rsidRPr="001C0470">
              <w:t xml:space="preserve">, the candidate </w:t>
            </w:r>
            <w:r>
              <w:t>demonstrates</w:t>
            </w:r>
            <w:r w:rsidRPr="001C0470">
              <w:t xml:space="preserve"> strong relationship</w:t>
            </w:r>
            <w:r>
              <w:t xml:space="preserve"> building </w:t>
            </w:r>
            <w:r w:rsidRPr="001C0470">
              <w:t>with a range of stakeholders in the healthcare sector.</w:t>
            </w:r>
          </w:p>
        </w:tc>
      </w:tr>
      <w:tr w:rsidR="00D323D1" w:rsidTr="0009536A" w14:paraId="41A282D4" w14:textId="77777777">
        <w:tc>
          <w:tcPr>
            <w:tcW w:w="3114" w:type="dxa"/>
            <w:vAlign w:val="center"/>
          </w:tcPr>
          <w:p w:rsidRPr="00B93D94" w:rsidR="00D323D1" w:rsidP="00C9180F" w:rsidRDefault="00C31F37" w14:paraId="763D09F1" w14:textId="7DE45876">
            <w:pPr>
              <w:spacing w:before="120" w:after="120"/>
              <w:rPr>
                <w:b/>
                <w:bCs/>
              </w:rPr>
            </w:pPr>
            <w:r w:rsidRPr="00B93D94">
              <w:rPr>
                <w:b/>
                <w:bCs/>
              </w:rPr>
              <w:t>Competence – learning to learn</w:t>
            </w:r>
          </w:p>
        </w:tc>
        <w:tc>
          <w:tcPr>
            <w:tcW w:w="4819" w:type="dxa"/>
            <w:vAlign w:val="center"/>
          </w:tcPr>
          <w:p w:rsidR="00D323D1" w:rsidP="00C9180F" w:rsidRDefault="0009536A" w14:paraId="1EB36C92" w14:textId="09A3151F">
            <w:pPr>
              <w:spacing w:before="120" w:after="120"/>
            </w:pPr>
            <w:r>
              <w:t xml:space="preserve">Learn to act in variable and unfamiliar learning contexts; learn to manage learning tasks independently, </w:t>
            </w:r>
            <w:proofErr w:type="gramStart"/>
            <w:r>
              <w:t>professionally</w:t>
            </w:r>
            <w:proofErr w:type="gramEnd"/>
            <w:r>
              <w:t xml:space="preserve"> and ethically</w:t>
            </w:r>
          </w:p>
        </w:tc>
        <w:tc>
          <w:tcPr>
            <w:tcW w:w="6015" w:type="dxa"/>
            <w:vAlign w:val="center"/>
          </w:tcPr>
          <w:p w:rsidR="00D323D1" w:rsidP="0099536A" w:rsidRDefault="0099536A" w14:paraId="6458E6FE" w14:textId="70125FE1">
            <w:pPr>
              <w:spacing w:before="120" w:after="120"/>
            </w:pPr>
            <w:r>
              <w:t xml:space="preserve">The candidate has demonstrated that she is highly competent in working in variable and unfamiliar context, independently, professional, and ethically. This can be seen in her experience of having led out on the collection of theatre data in five of </w:t>
            </w:r>
            <w:commentRangeStart w:id="4"/>
            <w:r>
              <w:t>hospital sites</w:t>
            </w:r>
            <w:commentRangeEnd w:id="4"/>
            <w:r w:rsidR="005E6CB8">
              <w:rPr>
                <w:rStyle w:val="CommentReference"/>
              </w:rPr>
              <w:commentReference w:id="4"/>
            </w:r>
            <w:r>
              <w:t xml:space="preserve">. Further to this significant piece of work she created a dashboard on an excel platform which allows easy comparison of theatre utilisation from a </w:t>
            </w:r>
            <w:proofErr w:type="spellStart"/>
            <w:r>
              <w:t>Saolta</w:t>
            </w:r>
            <w:proofErr w:type="spellEnd"/>
            <w:r>
              <w:t xml:space="preserve"> group perspective and at site level.</w:t>
            </w:r>
          </w:p>
        </w:tc>
      </w:tr>
      <w:tr w:rsidR="00C31F37" w:rsidTr="0009536A" w14:paraId="559A6A8A" w14:textId="77777777">
        <w:tc>
          <w:tcPr>
            <w:tcW w:w="3114" w:type="dxa"/>
            <w:vAlign w:val="center"/>
          </w:tcPr>
          <w:p w:rsidRPr="00B93D94" w:rsidR="00C31F37" w:rsidP="00C9180F" w:rsidRDefault="00C31F37" w14:paraId="63FCA0CD" w14:textId="28467C7F">
            <w:pPr>
              <w:spacing w:before="120" w:after="120"/>
              <w:rPr>
                <w:b/>
                <w:bCs/>
              </w:rPr>
            </w:pPr>
            <w:r w:rsidRPr="00B93D94">
              <w:rPr>
                <w:b/>
                <w:bCs/>
              </w:rPr>
              <w:t>Competence – insight</w:t>
            </w:r>
          </w:p>
        </w:tc>
        <w:tc>
          <w:tcPr>
            <w:tcW w:w="4819" w:type="dxa"/>
            <w:vAlign w:val="center"/>
          </w:tcPr>
          <w:p w:rsidR="00C31F37" w:rsidP="00C9180F" w:rsidRDefault="0009536A" w14:paraId="6DB1CFFB" w14:textId="689C5AEB">
            <w:pPr>
              <w:spacing w:before="120" w:after="120"/>
            </w:pPr>
            <w:r>
              <w:t>Express a comprehensive, internalised, personal world view manifesting solidarity with others</w:t>
            </w:r>
          </w:p>
        </w:tc>
        <w:tc>
          <w:tcPr>
            <w:tcW w:w="6015" w:type="dxa"/>
            <w:vAlign w:val="center"/>
          </w:tcPr>
          <w:p w:rsidR="00C31F37" w:rsidP="00C9180F" w:rsidRDefault="00683D8E" w14:paraId="5984C585" w14:textId="70B9A525">
            <w:pPr>
              <w:spacing w:before="120" w:after="120"/>
            </w:pPr>
            <w:r>
              <w:t xml:space="preserve">Based on </w:t>
            </w:r>
            <w:commentRangeStart w:id="5"/>
            <w:r>
              <w:t xml:space="preserve">informal </w:t>
            </w:r>
            <w:commentRangeEnd w:id="5"/>
            <w:r w:rsidR="001322CF">
              <w:rPr>
                <w:rStyle w:val="CommentReference"/>
              </w:rPr>
              <w:commentReference w:id="5"/>
            </w:r>
            <w:r>
              <w:t xml:space="preserve">email exchanges and phone conversation with the candidate, she demonstrated excellent competence and insight into the challenges that our healthcare sector is facing and is aware of the sensitive nature of healthcare data but also how that data can be leveraged for improved hospitals services. </w:t>
            </w:r>
          </w:p>
        </w:tc>
      </w:tr>
    </w:tbl>
    <w:p w:rsidR="008E51A0" w:rsidRDefault="008E51A0" w14:paraId="0DF91204" w14:textId="324B209C"/>
    <w:sectPr w:rsidR="008E51A0" w:rsidSect="00AC04F7">
      <w:footerReference w:type="default" r:id="rId12"/>
      <w:pgSz w:w="16838" w:h="11906" w:orient="landscape"/>
      <w:pgMar w:top="1247" w:right="1440" w:bottom="1247"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GG" w:author="Graham Glanville" w:date="2024-08-30T13:21:00Z" w:id="0">
    <w:p w:rsidR="003844F6" w:rsidRDefault="003844F6" w14:paraId="706AD263" w14:textId="7C481EB9">
      <w:pPr>
        <w:pStyle w:val="CommentText"/>
      </w:pPr>
      <w:r>
        <w:rPr>
          <w:rStyle w:val="CommentReference"/>
        </w:rPr>
        <w:annotationRef/>
      </w:r>
      <w:r>
        <w:t xml:space="preserve">Can you list some of these companies </w:t>
      </w:r>
      <w:r w:rsidR="00BB3418">
        <w:t>in brackets please….</w:t>
      </w:r>
    </w:p>
  </w:comment>
  <w:comment w:initials="GG" w:author="Graham Glanville" w:date="2024-08-30T13:22:00Z" w:id="1">
    <w:p w:rsidR="00BB3418" w:rsidRDefault="00BB3418" w14:paraId="75CF8D46" w14:textId="4A4D6742">
      <w:pPr>
        <w:pStyle w:val="CommentText"/>
      </w:pPr>
      <w:r>
        <w:rPr>
          <w:rStyle w:val="CommentReference"/>
        </w:rPr>
        <w:annotationRef/>
      </w:r>
      <w:r>
        <w:t>In terms of the target programme, how important are these skills for new applicants?</w:t>
      </w:r>
    </w:p>
  </w:comment>
  <w:comment w:initials="GG" w:author="Graham Glanville" w:date="2024-08-30T13:23:00Z" w:id="2">
    <w:p w:rsidR="00114382" w:rsidRDefault="00114382" w14:paraId="20B91EBC" w14:textId="07C3E3DE">
      <w:pPr>
        <w:pStyle w:val="CommentText"/>
      </w:pPr>
      <w:r>
        <w:rPr>
          <w:rStyle w:val="CommentReference"/>
        </w:rPr>
        <w:annotationRef/>
      </w:r>
      <w:r>
        <w:t>As per above, is this bullet point list greatly beneficial for the applicant for the target programme, if so, just state this….</w:t>
      </w:r>
    </w:p>
  </w:comment>
  <w:comment w:initials="GG" w:author="Graham Glanville" w:date="2024-08-30T13:23:00Z" w:id="3">
    <w:p w:rsidR="005E6CB8" w:rsidRDefault="005E6CB8" w14:paraId="2923BC87" w14:textId="1CC9BA5B">
      <w:pPr>
        <w:pStyle w:val="CommentText"/>
      </w:pPr>
      <w:r>
        <w:rPr>
          <w:rStyle w:val="CommentReference"/>
        </w:rPr>
        <w:annotationRef/>
      </w:r>
      <w:r>
        <w:t>Just to flesh this out include the name/role of the person who provided the recommendation letter to add weight to the remaining sentence….</w:t>
      </w:r>
    </w:p>
  </w:comment>
  <w:comment w:initials="GG" w:author="Graham Glanville" w:date="2024-08-30T13:24:00Z" w:id="4">
    <w:p w:rsidR="005E6CB8" w:rsidRDefault="005E6CB8" w14:paraId="01FEE6F7" w14:textId="26CEF504">
      <w:pPr>
        <w:pStyle w:val="CommentText"/>
      </w:pPr>
      <w:r>
        <w:rPr>
          <w:rStyle w:val="CommentReference"/>
        </w:rPr>
        <w:annotationRef/>
      </w:r>
      <w:r>
        <w:t xml:space="preserve">Perhaps in brackets put a time period on this, </w:t>
      </w:r>
      <w:proofErr w:type="gramStart"/>
      <w:r>
        <w:t>i.e.</w:t>
      </w:r>
      <w:proofErr w:type="gramEnd"/>
      <w:r>
        <w:t xml:space="preserve"> 20</w:t>
      </w:r>
      <w:r w:rsidR="001322CF">
        <w:t>12 to 2018</w:t>
      </w:r>
    </w:p>
  </w:comment>
  <w:comment w:initials="GG" w:author="Graham Glanville" w:date="2024-08-30T13:25:00Z" w:id="5">
    <w:p w:rsidR="001322CF" w:rsidRDefault="001322CF" w14:paraId="6C9A7471" w14:textId="3D98964C">
      <w:pPr>
        <w:pStyle w:val="CommentText"/>
      </w:pPr>
      <w:r>
        <w:rPr>
          <w:rStyle w:val="CommentReference"/>
        </w:rPr>
        <w:annotationRef/>
      </w:r>
      <w:r>
        <w:t xml:space="preserve">You might want to put a time period on this, </w:t>
      </w:r>
      <w:proofErr w:type="gramStart"/>
      <w:r>
        <w:t>i.e.</w:t>
      </w:r>
      <w:proofErr w:type="gramEnd"/>
      <w:r>
        <w:t xml:space="preserve"> May to June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AD263" w15:done="0"/>
  <w15:commentEx w15:paraId="75CF8D46" w15:done="0"/>
  <w15:commentEx w15:paraId="20B91EBC" w15:done="0"/>
  <w15:commentEx w15:paraId="2923BC87" w15:done="0"/>
  <w15:commentEx w15:paraId="01FEE6F7" w15:done="0"/>
  <w15:commentEx w15:paraId="6C9A74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C45E1" w16cex:dateUtc="2024-08-30T12:21:00Z"/>
  <w16cex:commentExtensible w16cex:durableId="2A7C4616" w16cex:dateUtc="2024-08-30T12:22:00Z"/>
  <w16cex:commentExtensible w16cex:durableId="2A7C463C" w16cex:dateUtc="2024-08-30T12:23:00Z"/>
  <w16cex:commentExtensible w16cex:durableId="2A7C4668" w16cex:dateUtc="2024-08-30T12:23:00Z"/>
  <w16cex:commentExtensible w16cex:durableId="2A7C4695" w16cex:dateUtc="2024-08-30T12:24:00Z"/>
  <w16cex:commentExtensible w16cex:durableId="2A7C46B2" w16cex:dateUtc="2024-08-30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AD263" w16cid:durableId="2A7C45E1"/>
  <w16cid:commentId w16cid:paraId="75CF8D46" w16cid:durableId="2A7C4616"/>
  <w16cid:commentId w16cid:paraId="20B91EBC" w16cid:durableId="2A7C463C"/>
  <w16cid:commentId w16cid:paraId="2923BC87" w16cid:durableId="2A7C4668"/>
  <w16cid:commentId w16cid:paraId="01FEE6F7" w16cid:durableId="2A7C4695"/>
  <w16cid:commentId w16cid:paraId="6C9A7471" w16cid:durableId="2A7C46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00FC" w:rsidP="00FF5991" w:rsidRDefault="005200FC" w14:paraId="3E2083A4" w14:textId="77777777">
      <w:pPr>
        <w:spacing w:after="0" w:line="240" w:lineRule="auto"/>
      </w:pPr>
      <w:r>
        <w:separator/>
      </w:r>
    </w:p>
  </w:endnote>
  <w:endnote w:type="continuationSeparator" w:id="0">
    <w:p w:rsidR="005200FC" w:rsidP="00FF5991" w:rsidRDefault="005200FC" w14:paraId="081371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5991" w:rsidR="00FF5991" w:rsidP="00FF5991" w:rsidRDefault="00FF5991" w14:paraId="705DD86F" w14:textId="47C26F0C">
    <w:pPr>
      <w:pStyle w:val="Footer"/>
      <w:tabs>
        <w:tab w:val="clear" w:pos="9026"/>
        <w:tab w:val="right" w:pos="13892"/>
      </w:tabs>
      <w:rPr>
        <w:b/>
        <w:bCs/>
        <w:sz w:val="20"/>
        <w:szCs w:val="20"/>
      </w:rPr>
    </w:pPr>
    <w:r w:rsidRPr="00FF5991">
      <w:rPr>
        <w:b/>
        <w:bCs/>
        <w:sz w:val="20"/>
        <w:szCs w:val="20"/>
      </w:rPr>
      <w:t xml:space="preserve">Level </w:t>
    </w:r>
    <w:r w:rsidR="005F7A0A">
      <w:rPr>
        <w:b/>
        <w:bCs/>
        <w:sz w:val="20"/>
        <w:szCs w:val="20"/>
      </w:rPr>
      <w:t>8</w:t>
    </w:r>
    <w:r w:rsidRPr="00FF5991">
      <w:rPr>
        <w:b/>
        <w:bCs/>
        <w:sz w:val="20"/>
        <w:szCs w:val="20"/>
      </w:rPr>
      <w:t xml:space="preserve"> Award Rubric</w:t>
    </w:r>
    <w:r w:rsidRPr="00FF5991">
      <w:rPr>
        <w:b/>
        <w:bCs/>
        <w:sz w:val="20"/>
        <w:szCs w:val="20"/>
      </w:rPr>
      <w:tab/>
    </w:r>
    <w:r w:rsidRPr="00FF5991">
      <w:rPr>
        <w:b/>
        <w:bCs/>
        <w:sz w:val="20"/>
        <w:szCs w:val="20"/>
      </w:rPr>
      <w:tab/>
    </w:r>
    <w:r w:rsidRPr="00FF5991">
      <w:rPr>
        <w:b/>
        <w:bCs/>
        <w:sz w:val="20"/>
        <w:szCs w:val="20"/>
      </w:rPr>
      <w:t xml:space="preserve">Page </w:t>
    </w:r>
    <w:r w:rsidRPr="00FF5991">
      <w:rPr>
        <w:b/>
        <w:bCs/>
        <w:sz w:val="20"/>
        <w:szCs w:val="20"/>
      </w:rPr>
      <w:fldChar w:fldCharType="begin"/>
    </w:r>
    <w:r w:rsidRPr="00FF5991">
      <w:rPr>
        <w:b/>
        <w:bCs/>
        <w:sz w:val="20"/>
        <w:szCs w:val="20"/>
      </w:rPr>
      <w:instrText xml:space="preserve"> PAGE  \* Arabic  \* MERGEFORMAT </w:instrText>
    </w:r>
    <w:r w:rsidRPr="00FF5991">
      <w:rPr>
        <w:b/>
        <w:bCs/>
        <w:sz w:val="20"/>
        <w:szCs w:val="20"/>
      </w:rPr>
      <w:fldChar w:fldCharType="separate"/>
    </w:r>
    <w:r w:rsidRPr="00FF5991">
      <w:rPr>
        <w:b/>
        <w:bCs/>
        <w:noProof/>
        <w:sz w:val="20"/>
        <w:szCs w:val="20"/>
      </w:rPr>
      <w:t>1</w:t>
    </w:r>
    <w:r w:rsidRPr="00FF5991">
      <w:rPr>
        <w:b/>
        <w:bCs/>
        <w:sz w:val="20"/>
        <w:szCs w:val="20"/>
      </w:rPr>
      <w:fldChar w:fldCharType="end"/>
    </w:r>
    <w:r w:rsidRPr="00FF5991">
      <w:rPr>
        <w:b/>
        <w:bCs/>
        <w:sz w:val="20"/>
        <w:szCs w:val="20"/>
      </w:rPr>
      <w:t xml:space="preserve"> of </w:t>
    </w:r>
    <w:r w:rsidRPr="00FF5991">
      <w:rPr>
        <w:b/>
        <w:bCs/>
        <w:sz w:val="20"/>
        <w:szCs w:val="20"/>
      </w:rPr>
      <w:fldChar w:fldCharType="begin"/>
    </w:r>
    <w:r w:rsidRPr="00FF5991">
      <w:rPr>
        <w:b/>
        <w:bCs/>
        <w:sz w:val="20"/>
        <w:szCs w:val="20"/>
      </w:rPr>
      <w:instrText xml:space="preserve"> NUMPAGES  \* Arabic  \* MERGEFORMAT </w:instrText>
    </w:r>
    <w:r w:rsidRPr="00FF5991">
      <w:rPr>
        <w:b/>
        <w:bCs/>
        <w:sz w:val="20"/>
        <w:szCs w:val="20"/>
      </w:rPr>
      <w:fldChar w:fldCharType="separate"/>
    </w:r>
    <w:r w:rsidRPr="00FF5991">
      <w:rPr>
        <w:b/>
        <w:bCs/>
        <w:noProof/>
        <w:sz w:val="20"/>
        <w:szCs w:val="20"/>
      </w:rPr>
      <w:t>2</w:t>
    </w:r>
    <w:r w:rsidRPr="00FF5991">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00FC" w:rsidP="00FF5991" w:rsidRDefault="005200FC" w14:paraId="6488C68B" w14:textId="77777777">
      <w:pPr>
        <w:spacing w:after="0" w:line="240" w:lineRule="auto"/>
      </w:pPr>
      <w:r>
        <w:separator/>
      </w:r>
    </w:p>
  </w:footnote>
  <w:footnote w:type="continuationSeparator" w:id="0">
    <w:p w:rsidR="005200FC" w:rsidP="00FF5991" w:rsidRDefault="005200FC" w14:paraId="19CCAB9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24BD9"/>
    <w:multiLevelType w:val="hybridMultilevel"/>
    <w:tmpl w:val="1EB8D4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6BE75E22"/>
    <w:multiLevelType w:val="hybridMultilevel"/>
    <w:tmpl w:val="3000E8F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693506814">
    <w:abstractNumId w:val="0"/>
  </w:num>
  <w:num w:numId="2" w16cid:durableId="10538502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ham Glanville">
    <w15:presenceInfo w15:providerId="AD" w15:userId="S::GLANVILG@tcd.ie::22daa599-d8c9-46c2-8da0-71a0cd9dc45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FF"/>
    <w:rsid w:val="00001C6A"/>
    <w:rsid w:val="0009536A"/>
    <w:rsid w:val="000A05FF"/>
    <w:rsid w:val="000C31F3"/>
    <w:rsid w:val="000E1130"/>
    <w:rsid w:val="00114382"/>
    <w:rsid w:val="001322CF"/>
    <w:rsid w:val="00176473"/>
    <w:rsid w:val="001C0470"/>
    <w:rsid w:val="002037B7"/>
    <w:rsid w:val="00256B73"/>
    <w:rsid w:val="00287FA5"/>
    <w:rsid w:val="002B24ED"/>
    <w:rsid w:val="00322A86"/>
    <w:rsid w:val="003844F6"/>
    <w:rsid w:val="004F5240"/>
    <w:rsid w:val="005200FC"/>
    <w:rsid w:val="005A4328"/>
    <w:rsid w:val="005A56CE"/>
    <w:rsid w:val="005B4382"/>
    <w:rsid w:val="005E6CB8"/>
    <w:rsid w:val="005F26AB"/>
    <w:rsid w:val="005F7A0A"/>
    <w:rsid w:val="00650335"/>
    <w:rsid w:val="00683D8E"/>
    <w:rsid w:val="006A2225"/>
    <w:rsid w:val="00753B3F"/>
    <w:rsid w:val="007878E7"/>
    <w:rsid w:val="0081391B"/>
    <w:rsid w:val="008A1DBA"/>
    <w:rsid w:val="008B7824"/>
    <w:rsid w:val="008E51A0"/>
    <w:rsid w:val="008E5CD0"/>
    <w:rsid w:val="0099536A"/>
    <w:rsid w:val="009D6497"/>
    <w:rsid w:val="009E0413"/>
    <w:rsid w:val="00A24886"/>
    <w:rsid w:val="00A50209"/>
    <w:rsid w:val="00A60A64"/>
    <w:rsid w:val="00A676F4"/>
    <w:rsid w:val="00A812F8"/>
    <w:rsid w:val="00AC04F7"/>
    <w:rsid w:val="00B32732"/>
    <w:rsid w:val="00B7193C"/>
    <w:rsid w:val="00B93D94"/>
    <w:rsid w:val="00BB3418"/>
    <w:rsid w:val="00C31F37"/>
    <w:rsid w:val="00C37FE0"/>
    <w:rsid w:val="00C821D4"/>
    <w:rsid w:val="00C9180F"/>
    <w:rsid w:val="00CB00F0"/>
    <w:rsid w:val="00D10B05"/>
    <w:rsid w:val="00D323D1"/>
    <w:rsid w:val="00D74119"/>
    <w:rsid w:val="00E3226E"/>
    <w:rsid w:val="00EC17E2"/>
    <w:rsid w:val="00F7028B"/>
    <w:rsid w:val="00FF5991"/>
    <w:rsid w:val="08F0060D"/>
    <w:rsid w:val="1759C6D2"/>
    <w:rsid w:val="1ED94E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7100"/>
  <w15:chartTrackingRefBased/>
  <w15:docId w15:val="{45108F38-E60B-479D-8ED0-E24D14634E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A56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F59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5991"/>
  </w:style>
  <w:style w:type="paragraph" w:styleId="Footer">
    <w:name w:val="footer"/>
    <w:basedOn w:val="Normal"/>
    <w:link w:val="FooterChar"/>
    <w:uiPriority w:val="99"/>
    <w:unhideWhenUsed/>
    <w:rsid w:val="00FF59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5991"/>
  </w:style>
  <w:style w:type="paragraph" w:styleId="ListParagraph">
    <w:name w:val="List Paragraph"/>
    <w:basedOn w:val="Normal"/>
    <w:uiPriority w:val="34"/>
    <w:qFormat/>
    <w:rsid w:val="002B24ED"/>
    <w:pPr>
      <w:ind w:left="720"/>
      <w:contextualSpacing/>
    </w:pPr>
  </w:style>
  <w:style w:type="character" w:styleId="CommentReference">
    <w:name w:val="Comment Reference"/>
    <w:basedOn w:val="DefaultParagraphFont"/>
    <w:uiPriority w:val="99"/>
    <w:semiHidden/>
    <w:unhideWhenUsed/>
    <w:rsid w:val="003844F6"/>
    <w:rPr>
      <w:sz w:val="16"/>
      <w:szCs w:val="16"/>
    </w:rPr>
  </w:style>
  <w:style w:type="paragraph" w:styleId="CommentText">
    <w:name w:val="Comment Text"/>
    <w:basedOn w:val="Normal"/>
    <w:link w:val="CommentTextChar"/>
    <w:uiPriority w:val="99"/>
    <w:semiHidden/>
    <w:unhideWhenUsed/>
    <w:rsid w:val="003844F6"/>
    <w:pPr>
      <w:spacing w:line="240" w:lineRule="auto"/>
    </w:pPr>
    <w:rPr>
      <w:sz w:val="20"/>
      <w:szCs w:val="20"/>
    </w:rPr>
  </w:style>
  <w:style w:type="character" w:styleId="CommentTextChar" w:customStyle="1">
    <w:name w:val="Comment Text Char"/>
    <w:basedOn w:val="DefaultParagraphFont"/>
    <w:link w:val="CommentText"/>
    <w:uiPriority w:val="99"/>
    <w:semiHidden/>
    <w:rsid w:val="003844F6"/>
    <w:rPr>
      <w:sz w:val="20"/>
      <w:szCs w:val="20"/>
    </w:rPr>
  </w:style>
  <w:style w:type="paragraph" w:styleId="CommentSubject">
    <w:name w:val="Comment Subject"/>
    <w:basedOn w:val="CommentText"/>
    <w:next w:val="CommentText"/>
    <w:link w:val="CommentSubjectChar"/>
    <w:uiPriority w:val="99"/>
    <w:semiHidden/>
    <w:unhideWhenUsed/>
    <w:rsid w:val="003844F6"/>
    <w:rPr>
      <w:b/>
      <w:bCs/>
    </w:rPr>
  </w:style>
  <w:style w:type="character" w:styleId="CommentSubjectChar" w:customStyle="1">
    <w:name w:val="Comment Subject Char"/>
    <w:basedOn w:val="CommentTextChar"/>
    <w:link w:val="CommentSubject"/>
    <w:uiPriority w:val="99"/>
    <w:semiHidden/>
    <w:rsid w:val="003844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DE144F26B717429280471BAAF5AA23" ma:contentTypeVersion="17" ma:contentTypeDescription="Create a new document." ma:contentTypeScope="" ma:versionID="99004e238a4ab5f4f1a3ecd825a3fed9">
  <xsd:schema xmlns:xsd="http://www.w3.org/2001/XMLSchema" xmlns:xs="http://www.w3.org/2001/XMLSchema" xmlns:p="http://schemas.microsoft.com/office/2006/metadata/properties" xmlns:ns2="9661b5ac-9343-473c-9a4a-8b926bb68c7e" xmlns:ns3="5e1f11e3-3540-4a98-9804-4a4800ff0d05" targetNamespace="http://schemas.microsoft.com/office/2006/metadata/properties" ma:root="true" ma:fieldsID="63c3460b949b7d64de63ab15c8676e65" ns2:_="" ns3:_="">
    <xsd:import namespace="9661b5ac-9343-473c-9a4a-8b926bb68c7e"/>
    <xsd:import namespace="5e1f11e3-3540-4a98-9804-4a4800ff0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1b5ac-9343-473c-9a4a-8b926bb6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1f11e3-3540-4a98-9804-4a4800ff0d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779b34-3a11-4be1-b04d-84d907f1f43c}" ma:internalName="TaxCatchAll" ma:showField="CatchAllData" ma:web="5e1f11e3-3540-4a98-9804-4a4800ff0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61b5ac-9343-473c-9a4a-8b926bb68c7e">
      <Terms xmlns="http://schemas.microsoft.com/office/infopath/2007/PartnerControls"/>
    </lcf76f155ced4ddcb4097134ff3c332f>
    <TaxCatchAll xmlns="5e1f11e3-3540-4a98-9804-4a4800ff0d05" xsi:nil="true"/>
  </documentManagement>
</p:properties>
</file>

<file path=customXml/itemProps1.xml><?xml version="1.0" encoding="utf-8"?>
<ds:datastoreItem xmlns:ds="http://schemas.openxmlformats.org/officeDocument/2006/customXml" ds:itemID="{C9A8155C-467C-47F0-87D0-72A4DCF3B1C7}">
  <ds:schemaRefs>
    <ds:schemaRef ds:uri="http://schemas.openxmlformats.org/officeDocument/2006/bibliography"/>
  </ds:schemaRefs>
</ds:datastoreItem>
</file>

<file path=customXml/itemProps2.xml><?xml version="1.0" encoding="utf-8"?>
<ds:datastoreItem xmlns:ds="http://schemas.openxmlformats.org/officeDocument/2006/customXml" ds:itemID="{23C8F27C-9AF9-400C-9CF0-AC2973853B2D}"/>
</file>

<file path=customXml/itemProps3.xml><?xml version="1.0" encoding="utf-8"?>
<ds:datastoreItem xmlns:ds="http://schemas.openxmlformats.org/officeDocument/2006/customXml" ds:itemID="{6B4B96AC-4A82-4C43-BBD9-30246F456C34}"/>
</file>

<file path=customXml/itemProps4.xml><?xml version="1.0" encoding="utf-8"?>
<ds:datastoreItem xmlns:ds="http://schemas.openxmlformats.org/officeDocument/2006/customXml" ds:itemID="{D81B9F11-D39C-4D7E-8A19-286F7F8C36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Graham Glanville</dc:creator>
  <keywords/>
  <dc:description/>
  <lastModifiedBy>Cormac Doran</lastModifiedBy>
  <revision>9</revision>
  <dcterms:created xsi:type="dcterms:W3CDTF">2024-08-30T12:21:00.0000000Z</dcterms:created>
  <dcterms:modified xsi:type="dcterms:W3CDTF">2026-03-12T09:26:37.0682333Z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0x010100CADE144F26B717429280471BAAF5AA23</vt:lpwstr>
  </property>
</Properties>
</file>