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0B05" w:rsidR="00322A86" w:rsidRDefault="000A05FF" w14:paraId="376BE93A" w14:textId="24471EF9">
      <w:pPr>
        <w:rPr>
          <w:b w:val="1"/>
          <w:bCs w:val="1"/>
          <w:sz w:val="40"/>
          <w:szCs w:val="40"/>
        </w:rPr>
      </w:pPr>
      <w:r w:rsidRPr="33F6507C" w:rsidR="17947366">
        <w:rPr>
          <w:b w:val="1"/>
          <w:bCs w:val="1"/>
          <w:sz w:val="40"/>
          <w:szCs w:val="40"/>
        </w:rPr>
        <w:t xml:space="preserve">Sample </w:t>
      </w:r>
      <w:r w:rsidRPr="33F6507C" w:rsidR="000A05FF">
        <w:rPr>
          <w:b w:val="1"/>
          <w:bCs w:val="1"/>
          <w:sz w:val="40"/>
          <w:szCs w:val="40"/>
        </w:rPr>
        <w:t xml:space="preserve">Rubric for Generic Award Standard NFQ Level </w:t>
      </w:r>
      <w:r w:rsidRPr="33F6507C" w:rsidR="005F7A0A">
        <w:rPr>
          <w:b w:val="1"/>
          <w:bCs w:val="1"/>
          <w:sz w:val="40"/>
          <w:szCs w:val="40"/>
        </w:rPr>
        <w:t>8</w:t>
      </w:r>
      <w:r w:rsidRPr="33F6507C" w:rsidR="652D9826">
        <w:rPr>
          <w:b w:val="1"/>
          <w:bCs w:val="1"/>
          <w:sz w:val="40"/>
          <w:szCs w:val="40"/>
        </w:rPr>
        <w:t xml:space="preserve"> With Feedback</w:t>
      </w:r>
    </w:p>
    <w:p w:rsidRPr="00FF5991" w:rsidR="00D10B05" w:rsidRDefault="00D10B05" w14:paraId="19F2A489" w14:textId="094404B6">
      <w:pPr>
        <w:rPr>
          <w:b/>
          <w:bCs/>
          <w:color w:val="0070C0"/>
          <w:sz w:val="32"/>
          <w:szCs w:val="32"/>
        </w:rPr>
      </w:pPr>
      <w:r w:rsidRPr="00FF5991">
        <w:rPr>
          <w:b/>
          <w:bCs/>
          <w:color w:val="0070C0"/>
          <w:sz w:val="32"/>
          <w:szCs w:val="32"/>
        </w:rPr>
        <w:t>Applicant and Process Details</w:t>
      </w:r>
    </w:p>
    <w:tbl>
      <w:tblPr>
        <w:tblStyle w:val="TableGrid"/>
        <w:tblW w:w="0" w:type="auto"/>
        <w:tblLook w:val="04A0" w:firstRow="1" w:lastRow="0" w:firstColumn="1" w:lastColumn="0" w:noHBand="0" w:noVBand="1"/>
      </w:tblPr>
      <w:tblGrid>
        <w:gridCol w:w="2263"/>
        <w:gridCol w:w="5103"/>
      </w:tblGrid>
      <w:tr w:rsidR="008E5CD0" w:rsidTr="00CB00F0" w14:paraId="5871EB9E" w14:textId="77777777">
        <w:tc>
          <w:tcPr>
            <w:tcW w:w="2263" w:type="dxa"/>
            <w:shd w:val="clear" w:color="auto" w:fill="F2F2F2" w:themeFill="background1" w:themeFillShade="F2"/>
          </w:tcPr>
          <w:p w:rsidRPr="008E5CD0" w:rsidR="008E5CD0" w:rsidP="00EC17E2" w:rsidRDefault="008E5CD0" w14:paraId="6BBE0D56" w14:textId="1146E345">
            <w:pPr>
              <w:spacing w:before="60" w:after="60"/>
              <w:rPr>
                <w:b/>
                <w:bCs/>
              </w:rPr>
            </w:pPr>
            <w:r w:rsidRPr="008E5CD0">
              <w:rPr>
                <w:b/>
                <w:bCs/>
              </w:rPr>
              <w:t>Applicant</w:t>
            </w:r>
          </w:p>
        </w:tc>
        <w:tc>
          <w:tcPr>
            <w:tcW w:w="5103" w:type="dxa"/>
          </w:tcPr>
          <w:p w:rsidRPr="008E5CD0" w:rsidR="008E5CD0" w:rsidP="00EC17E2" w:rsidRDefault="008E5CD0" w14:paraId="65E334EA" w14:textId="78C77885">
            <w:pPr>
              <w:spacing w:before="60" w:after="60"/>
              <w:rPr>
                <w:b/>
                <w:bCs/>
              </w:rPr>
            </w:pPr>
          </w:p>
        </w:tc>
      </w:tr>
      <w:tr w:rsidR="008E5CD0" w:rsidTr="00CB00F0" w14:paraId="350BD9B9" w14:textId="77777777">
        <w:tc>
          <w:tcPr>
            <w:tcW w:w="2263" w:type="dxa"/>
            <w:shd w:val="clear" w:color="auto" w:fill="F2F2F2" w:themeFill="background1" w:themeFillShade="F2"/>
          </w:tcPr>
          <w:p w:rsidRPr="008E5CD0" w:rsidR="008E5CD0" w:rsidP="00EC17E2" w:rsidRDefault="008E5CD0" w14:paraId="25CC04A0" w14:textId="35E4CB09">
            <w:pPr>
              <w:spacing w:before="60" w:after="60"/>
              <w:rPr>
                <w:b/>
                <w:bCs/>
              </w:rPr>
            </w:pPr>
            <w:r w:rsidRPr="008E5CD0">
              <w:rPr>
                <w:b/>
                <w:bCs/>
              </w:rPr>
              <w:t>Programme</w:t>
            </w:r>
          </w:p>
        </w:tc>
        <w:tc>
          <w:tcPr>
            <w:tcW w:w="5103" w:type="dxa"/>
          </w:tcPr>
          <w:p w:rsidRPr="008E5CD0" w:rsidR="008E5CD0" w:rsidP="00EC17E2" w:rsidRDefault="006249CC" w14:paraId="351656C7" w14:textId="1EAB27EB">
            <w:pPr>
              <w:spacing w:before="60" w:after="60"/>
              <w:rPr>
                <w:b/>
                <w:bCs/>
              </w:rPr>
            </w:pPr>
            <w:r w:rsidRPr="006249CC">
              <w:rPr>
                <w:b/>
                <w:bCs/>
              </w:rPr>
              <w:t>Postgraduate Certificate in Quantitative Methods &amp; Data Analysis for Healthcare</w:t>
            </w:r>
          </w:p>
        </w:tc>
      </w:tr>
      <w:tr w:rsidR="008E5CD0" w:rsidTr="00CB00F0" w14:paraId="504F2413" w14:textId="77777777">
        <w:tc>
          <w:tcPr>
            <w:tcW w:w="2263" w:type="dxa"/>
            <w:shd w:val="clear" w:color="auto" w:fill="F2F2F2" w:themeFill="background1" w:themeFillShade="F2"/>
          </w:tcPr>
          <w:p w:rsidRPr="008E5CD0" w:rsidR="008E5CD0" w:rsidP="00EC17E2" w:rsidRDefault="008E5CD0" w14:paraId="6C3A209D" w14:textId="467EA59B">
            <w:pPr>
              <w:spacing w:before="60" w:after="60"/>
              <w:rPr>
                <w:b/>
                <w:bCs/>
              </w:rPr>
            </w:pPr>
            <w:r w:rsidRPr="008E5CD0">
              <w:rPr>
                <w:b/>
                <w:bCs/>
              </w:rPr>
              <w:t>Date</w:t>
            </w:r>
          </w:p>
        </w:tc>
        <w:tc>
          <w:tcPr>
            <w:tcW w:w="5103" w:type="dxa"/>
          </w:tcPr>
          <w:p w:rsidRPr="008E5CD0" w:rsidR="008E5CD0" w:rsidP="00EC17E2" w:rsidRDefault="006249CC" w14:paraId="25E4A9B4" w14:textId="02C8F2E4">
            <w:pPr>
              <w:spacing w:before="60" w:after="60"/>
              <w:rPr>
                <w:b/>
                <w:bCs/>
              </w:rPr>
            </w:pPr>
            <w:r>
              <w:rPr>
                <w:b/>
                <w:bCs/>
              </w:rPr>
              <w:t>30/08/2024</w:t>
            </w:r>
          </w:p>
        </w:tc>
      </w:tr>
      <w:tr w:rsidR="008E5CD0" w:rsidTr="00CB00F0" w14:paraId="04F472D8" w14:textId="77777777">
        <w:tc>
          <w:tcPr>
            <w:tcW w:w="2263" w:type="dxa"/>
            <w:shd w:val="clear" w:color="auto" w:fill="F2F2F2" w:themeFill="background1" w:themeFillShade="F2"/>
          </w:tcPr>
          <w:p w:rsidRPr="008E5CD0" w:rsidR="008E5CD0" w:rsidP="00EC17E2" w:rsidRDefault="008E5CD0" w14:paraId="65CD1251" w14:textId="4A5E5F7C">
            <w:pPr>
              <w:spacing w:before="60" w:after="60"/>
              <w:rPr>
                <w:b/>
                <w:bCs/>
              </w:rPr>
            </w:pPr>
            <w:r w:rsidRPr="008E5CD0">
              <w:rPr>
                <w:b/>
                <w:bCs/>
              </w:rPr>
              <w:t>Assessment Details</w:t>
            </w:r>
          </w:p>
        </w:tc>
        <w:tc>
          <w:tcPr>
            <w:tcW w:w="5103" w:type="dxa"/>
          </w:tcPr>
          <w:p w:rsidR="008E5CD0" w:rsidP="006249CC" w:rsidRDefault="006249CC" w14:paraId="7505FC16" w14:textId="43B3F0E6">
            <w:pPr>
              <w:pStyle w:val="ListParagraph"/>
              <w:numPr>
                <w:ilvl w:val="0"/>
                <w:numId w:val="1"/>
              </w:numPr>
              <w:spacing w:before="60" w:after="60"/>
              <w:rPr>
                <w:b/>
                <w:bCs/>
              </w:rPr>
            </w:pPr>
            <w:r w:rsidRPr="006249CC">
              <w:rPr>
                <w:b/>
                <w:bCs/>
              </w:rPr>
              <w:t>Course Coordinator reviewed completed application</w:t>
            </w:r>
            <w:r>
              <w:rPr>
                <w:b/>
                <w:bCs/>
              </w:rPr>
              <w:t>,</w:t>
            </w:r>
          </w:p>
          <w:p w:rsidR="006249CC" w:rsidP="006249CC" w:rsidRDefault="006249CC" w14:paraId="49CA2BCD" w14:textId="692D6F8F">
            <w:pPr>
              <w:pStyle w:val="ListParagraph"/>
              <w:numPr>
                <w:ilvl w:val="0"/>
                <w:numId w:val="1"/>
              </w:numPr>
              <w:spacing w:before="60" w:after="60"/>
              <w:rPr>
                <w:b/>
                <w:bCs/>
              </w:rPr>
            </w:pPr>
            <w:r>
              <w:rPr>
                <w:b/>
                <w:bCs/>
              </w:rPr>
              <w:t>Informal interview with candidate was conducted to assess suitability for the programme,</w:t>
            </w:r>
          </w:p>
          <w:p w:rsidRPr="008E5CD0" w:rsidR="006249CC" w:rsidP="006249CC" w:rsidRDefault="006249CC" w14:paraId="6F615B32" w14:textId="76457BF8">
            <w:pPr>
              <w:pStyle w:val="ListParagraph"/>
              <w:numPr>
                <w:ilvl w:val="0"/>
                <w:numId w:val="1"/>
              </w:numPr>
              <w:spacing w:before="60" w:after="60"/>
              <w:rPr>
                <w:b/>
                <w:bCs/>
              </w:rPr>
            </w:pPr>
            <w:r>
              <w:rPr>
                <w:b/>
                <w:bCs/>
              </w:rPr>
              <w:t>Tailored technical assessment was reviewed and met all criteria relevant for the programme</w:t>
            </w:r>
          </w:p>
        </w:tc>
      </w:tr>
    </w:tbl>
    <w:p w:rsidR="008E5CD0" w:rsidP="00FF5991" w:rsidRDefault="008E5CD0" w14:paraId="53F17FDE" w14:textId="77777777">
      <w:pPr>
        <w:spacing w:after="0"/>
        <w:rPr>
          <w:b/>
          <w:bCs/>
          <w:sz w:val="32"/>
          <w:szCs w:val="32"/>
        </w:rPr>
      </w:pPr>
    </w:p>
    <w:p w:rsidR="00D10B05" w:rsidP="00FF5991" w:rsidRDefault="00D10B05" w14:paraId="77DB13EF" w14:textId="501CF168">
      <w:pPr>
        <w:rPr>
          <w:b/>
          <w:bCs/>
          <w:color w:val="0070C0"/>
          <w:sz w:val="32"/>
          <w:szCs w:val="32"/>
        </w:rPr>
      </w:pPr>
      <w:r w:rsidRPr="00FF5991">
        <w:rPr>
          <w:b/>
          <w:bCs/>
          <w:color w:val="0070C0"/>
          <w:sz w:val="32"/>
          <w:szCs w:val="32"/>
        </w:rPr>
        <w:t xml:space="preserve">QQI NFQ Level </w:t>
      </w:r>
      <w:r w:rsidR="005F7A0A">
        <w:rPr>
          <w:b/>
          <w:bCs/>
          <w:color w:val="0070C0"/>
          <w:sz w:val="32"/>
          <w:szCs w:val="32"/>
        </w:rPr>
        <w:t>8</w:t>
      </w:r>
      <w:r w:rsidRPr="00FF5991">
        <w:rPr>
          <w:b/>
          <w:bCs/>
          <w:color w:val="0070C0"/>
          <w:sz w:val="32"/>
          <w:szCs w:val="32"/>
        </w:rPr>
        <w:t xml:space="preserve"> Award Standard</w:t>
      </w:r>
    </w:p>
    <w:p w:rsidR="00C9180F" w:rsidP="00C9180F" w:rsidRDefault="00C9180F" w14:paraId="6417C7FE" w14:textId="558339B5">
      <w:r>
        <w:rPr>
          <w:i/>
          <w:iCs/>
        </w:rPr>
        <w:t>(Awards Standards - Generic Higher Education and Training, QQI July 2014/HS4</w:t>
      </w:r>
      <w:r>
        <w:t xml:space="preserve">) </w:t>
      </w:r>
    </w:p>
    <w:tbl>
      <w:tblPr>
        <w:tblStyle w:val="TableGrid"/>
        <w:tblW w:w="0" w:type="auto"/>
        <w:tblLook w:val="04A0" w:firstRow="1" w:lastRow="0" w:firstColumn="1" w:lastColumn="0" w:noHBand="0" w:noVBand="1"/>
      </w:tblPr>
      <w:tblGrid>
        <w:gridCol w:w="1555"/>
        <w:gridCol w:w="12332"/>
      </w:tblGrid>
      <w:tr w:rsidR="00D10B05" w:rsidTr="00CD3E7F" w14:paraId="05D1A8F8" w14:textId="77777777">
        <w:tc>
          <w:tcPr>
            <w:tcW w:w="1555" w:type="dxa"/>
            <w:shd w:val="clear" w:color="auto" w:fill="F2F2F2" w:themeFill="background1" w:themeFillShade="F2"/>
          </w:tcPr>
          <w:p w:rsidRPr="00EC17E2" w:rsidR="00D10B05" w:rsidP="00CD3E7F" w:rsidRDefault="00D10B05" w14:paraId="4087E5AB" w14:textId="77777777">
            <w:pPr>
              <w:spacing w:before="60" w:after="60"/>
              <w:rPr>
                <w:b/>
                <w:bCs/>
              </w:rPr>
            </w:pPr>
            <w:r w:rsidRPr="00EC17E2">
              <w:rPr>
                <w:b/>
                <w:bCs/>
              </w:rPr>
              <w:t>Award Title</w:t>
            </w:r>
          </w:p>
        </w:tc>
        <w:tc>
          <w:tcPr>
            <w:tcW w:w="12332" w:type="dxa"/>
          </w:tcPr>
          <w:p w:rsidR="00D10B05" w:rsidP="00CD3E7F" w:rsidRDefault="00753B3F" w14:paraId="38829D19" w14:textId="3694A8CA">
            <w:pPr>
              <w:spacing w:before="60" w:after="60"/>
            </w:pPr>
            <w:r>
              <w:t>Honours</w:t>
            </w:r>
            <w:r w:rsidR="00D10B05">
              <w:t xml:space="preserve"> Bachelor Degree (Generic)</w:t>
            </w:r>
          </w:p>
        </w:tc>
      </w:tr>
      <w:tr w:rsidR="00D10B05" w:rsidTr="00CD3E7F" w14:paraId="754F3844" w14:textId="77777777">
        <w:tc>
          <w:tcPr>
            <w:tcW w:w="1555" w:type="dxa"/>
            <w:shd w:val="clear" w:color="auto" w:fill="F2F2F2" w:themeFill="background1" w:themeFillShade="F2"/>
          </w:tcPr>
          <w:p w:rsidRPr="00EC17E2" w:rsidR="00D10B05" w:rsidP="00CD3E7F" w:rsidRDefault="00D10B05" w14:paraId="574BE040" w14:textId="77777777">
            <w:pPr>
              <w:spacing w:before="60" w:after="60"/>
              <w:rPr>
                <w:b/>
                <w:bCs/>
              </w:rPr>
            </w:pPr>
            <w:r w:rsidRPr="00EC17E2">
              <w:rPr>
                <w:b/>
                <w:bCs/>
              </w:rPr>
              <w:t>Purpose</w:t>
            </w:r>
          </w:p>
        </w:tc>
        <w:tc>
          <w:tcPr>
            <w:tcW w:w="12332" w:type="dxa"/>
          </w:tcPr>
          <w:p w:rsidR="00D10B05" w:rsidP="00CD3E7F" w:rsidRDefault="00A24886" w14:paraId="14E6CCE5" w14:textId="1A868635">
            <w:pPr>
              <w:spacing w:before="60" w:after="60"/>
            </w:pPr>
            <w:r>
              <w:t>This is a multi-purpose award-type. The knowledge, skill and competence acquired are relevant to personal development, participation in society and community, employment, and access to additional education and training.</w:t>
            </w:r>
          </w:p>
        </w:tc>
      </w:tr>
      <w:tr w:rsidR="00D10B05" w:rsidTr="00CD3E7F" w14:paraId="721906C1" w14:textId="77777777">
        <w:tc>
          <w:tcPr>
            <w:tcW w:w="1555" w:type="dxa"/>
            <w:shd w:val="clear" w:color="auto" w:fill="F2F2F2" w:themeFill="background1" w:themeFillShade="F2"/>
          </w:tcPr>
          <w:p w:rsidRPr="00EC17E2" w:rsidR="00D10B05" w:rsidP="00CD3E7F" w:rsidRDefault="00D10B05" w14:paraId="7B2E890D" w14:textId="77777777">
            <w:pPr>
              <w:spacing w:before="60" w:after="60"/>
              <w:rPr>
                <w:b/>
                <w:bCs/>
              </w:rPr>
            </w:pPr>
            <w:r w:rsidRPr="00EC17E2">
              <w:rPr>
                <w:b/>
                <w:bCs/>
              </w:rPr>
              <w:t>Level</w:t>
            </w:r>
          </w:p>
        </w:tc>
        <w:tc>
          <w:tcPr>
            <w:tcW w:w="12332" w:type="dxa"/>
          </w:tcPr>
          <w:p w:rsidR="00D10B05" w:rsidP="00CD3E7F" w:rsidRDefault="005F7A0A" w14:paraId="434CBDC5" w14:textId="416DE7DD">
            <w:pPr>
              <w:spacing w:before="60" w:after="60"/>
            </w:pPr>
            <w:r>
              <w:t>8</w:t>
            </w:r>
            <w:r w:rsidR="00D10B05">
              <w:t xml:space="preserve"> (Major Award)</w:t>
            </w:r>
          </w:p>
        </w:tc>
      </w:tr>
      <w:tr w:rsidR="00D10B05" w:rsidTr="00CD3E7F" w14:paraId="2464C12C" w14:textId="77777777">
        <w:tc>
          <w:tcPr>
            <w:tcW w:w="1555" w:type="dxa"/>
            <w:shd w:val="clear" w:color="auto" w:fill="F2F2F2" w:themeFill="background1" w:themeFillShade="F2"/>
          </w:tcPr>
          <w:p w:rsidRPr="00EC17E2" w:rsidR="00D10B05" w:rsidP="00CD3E7F" w:rsidRDefault="00D10B05" w14:paraId="4525124C" w14:textId="77777777">
            <w:pPr>
              <w:spacing w:before="60" w:after="60"/>
              <w:rPr>
                <w:b/>
                <w:bCs/>
              </w:rPr>
            </w:pPr>
            <w:r w:rsidRPr="00EC17E2">
              <w:rPr>
                <w:b/>
                <w:bCs/>
              </w:rPr>
              <w:t>Volume</w:t>
            </w:r>
          </w:p>
        </w:tc>
        <w:tc>
          <w:tcPr>
            <w:tcW w:w="12332" w:type="dxa"/>
          </w:tcPr>
          <w:p w:rsidR="00D10B05" w:rsidP="00CD3E7F" w:rsidRDefault="00D10B05" w14:paraId="3A3BD4F0" w14:textId="516E1713">
            <w:pPr>
              <w:spacing w:before="60" w:after="60"/>
            </w:pPr>
            <w:r>
              <w:t>ECTS (3x 60 ECTS minimum for Ordinary Bachelor Degree</w:t>
            </w:r>
            <w:r w:rsidR="004F5240">
              <w:t xml:space="preserve"> (Arts), all others 4x 60 ECTS</w:t>
            </w:r>
            <w:r>
              <w:t>)</w:t>
            </w:r>
          </w:p>
        </w:tc>
      </w:tr>
    </w:tbl>
    <w:p w:rsidR="00D10B05" w:rsidP="00AC04F7" w:rsidRDefault="00D10B05" w14:paraId="1577C57B" w14:textId="77777777">
      <w:pPr>
        <w:spacing w:after="0"/>
        <w:rPr>
          <w:b/>
          <w:bCs/>
          <w:sz w:val="32"/>
          <w:szCs w:val="32"/>
        </w:rPr>
      </w:pPr>
    </w:p>
    <w:p w:rsidRPr="00FF5991" w:rsidR="008E5CD0" w:rsidRDefault="008E5CD0" w14:paraId="4B156328" w14:textId="64EE6D4A">
      <w:pPr>
        <w:rPr>
          <w:b/>
          <w:bCs/>
          <w:color w:val="0070C0"/>
          <w:sz w:val="32"/>
          <w:szCs w:val="32"/>
        </w:rPr>
      </w:pPr>
      <w:r w:rsidRPr="00FF5991">
        <w:rPr>
          <w:b/>
          <w:bCs/>
          <w:color w:val="0070C0"/>
          <w:sz w:val="32"/>
          <w:szCs w:val="32"/>
        </w:rPr>
        <w:t>RPL Evidence</w:t>
      </w:r>
      <w:r w:rsidRPr="00FF5991" w:rsidR="00CB00F0">
        <w:rPr>
          <w:b/>
          <w:bCs/>
          <w:color w:val="0070C0"/>
          <w:sz w:val="32"/>
          <w:szCs w:val="32"/>
        </w:rPr>
        <w:t xml:space="preserve"> Evaluation against Level </w:t>
      </w:r>
      <w:r w:rsidR="00A24886">
        <w:rPr>
          <w:b/>
          <w:bCs/>
          <w:color w:val="0070C0"/>
          <w:sz w:val="32"/>
          <w:szCs w:val="32"/>
        </w:rPr>
        <w:t>8</w:t>
      </w:r>
      <w:r w:rsidRPr="00FF5991" w:rsidR="00CB00F0">
        <w:rPr>
          <w:b/>
          <w:bCs/>
          <w:color w:val="0070C0"/>
          <w:sz w:val="32"/>
          <w:szCs w:val="32"/>
        </w:rPr>
        <w:t xml:space="preserve"> Standard</w:t>
      </w:r>
    </w:p>
    <w:p w:rsidR="000A05FF" w:rsidP="00A50209" w:rsidRDefault="008A1DBA" w14:paraId="2A40E6AF" w14:textId="1A5DC1EA">
      <w:pPr>
        <w:jc w:val="both"/>
      </w:pPr>
      <w:r>
        <w:t xml:space="preserve">It </w:t>
      </w:r>
      <w:r w:rsidR="008E51A0">
        <w:t>would be</w:t>
      </w:r>
      <w:r>
        <w:t xml:space="preserve"> expected that a generic Award at NFQ Level </w:t>
      </w:r>
      <w:r w:rsidR="00A24886">
        <w:t>8</w:t>
      </w:r>
      <w:r>
        <w:t xml:space="preserve">, </w:t>
      </w:r>
      <w:r w:rsidR="00E3226E">
        <w:t>equivalent</w:t>
      </w:r>
      <w:r>
        <w:t xml:space="preserve"> to an Ordinary </w:t>
      </w:r>
      <w:r w:rsidR="00E3226E">
        <w:t>Bachelor</w:t>
      </w:r>
      <w:r>
        <w:t xml:space="preserve"> Degree, would</w:t>
      </w:r>
      <w:r w:rsidR="008E51A0">
        <w:t xml:space="preserve"> be associated with the following graduate attributes across </w:t>
      </w:r>
      <w:r w:rsidR="00F7028B">
        <w:t xml:space="preserve">the categories of </w:t>
      </w:r>
      <w:r w:rsidR="008E51A0">
        <w:t xml:space="preserve">Knowledge, Skill and Competence. </w:t>
      </w:r>
    </w:p>
    <w:tbl>
      <w:tblPr>
        <w:tblStyle w:val="TableGrid"/>
        <w:tblW w:w="0" w:type="auto"/>
        <w:tblLook w:val="04A0" w:firstRow="1" w:lastRow="0" w:firstColumn="1" w:lastColumn="0" w:noHBand="0" w:noVBand="1"/>
      </w:tblPr>
      <w:tblGrid>
        <w:gridCol w:w="3114"/>
        <w:gridCol w:w="4819"/>
        <w:gridCol w:w="6015"/>
      </w:tblGrid>
      <w:tr w:rsidRPr="00B93D94" w:rsidR="00AC04F7" w:rsidTr="0009536A" w14:paraId="79DFD750" w14:textId="77777777">
        <w:trPr>
          <w:tblHeader/>
        </w:trPr>
        <w:tc>
          <w:tcPr>
            <w:tcW w:w="3114" w:type="dxa"/>
            <w:shd w:val="clear" w:color="auto" w:fill="F2F2F2" w:themeFill="background1" w:themeFillShade="F2"/>
            <w:vAlign w:val="center"/>
          </w:tcPr>
          <w:p w:rsidRPr="00B93D94" w:rsidR="00AC04F7" w:rsidP="00C9180F" w:rsidRDefault="00D323D1" w14:paraId="3C4DFD5F" w14:textId="32F760B0">
            <w:pPr>
              <w:spacing w:before="120" w:after="120"/>
              <w:rPr>
                <w:b/>
                <w:bCs/>
              </w:rPr>
            </w:pPr>
            <w:r w:rsidRPr="00B93D94">
              <w:rPr>
                <w:b/>
                <w:bCs/>
              </w:rPr>
              <w:t>Criteria Strand</w:t>
            </w:r>
          </w:p>
        </w:tc>
        <w:tc>
          <w:tcPr>
            <w:tcW w:w="4819" w:type="dxa"/>
            <w:shd w:val="clear" w:color="auto" w:fill="F2F2F2" w:themeFill="background1" w:themeFillShade="F2"/>
            <w:vAlign w:val="center"/>
          </w:tcPr>
          <w:p w:rsidRPr="00B93D94" w:rsidR="00AC04F7" w:rsidP="00C9180F" w:rsidRDefault="00D323D1" w14:paraId="16FDFAB5" w14:textId="54DC88EF">
            <w:pPr>
              <w:spacing w:before="120" w:after="120"/>
              <w:rPr>
                <w:b/>
                <w:bCs/>
              </w:rPr>
            </w:pPr>
            <w:r w:rsidRPr="00B93D94">
              <w:rPr>
                <w:b/>
                <w:bCs/>
              </w:rPr>
              <w:t>Description</w:t>
            </w:r>
          </w:p>
        </w:tc>
        <w:tc>
          <w:tcPr>
            <w:tcW w:w="6015" w:type="dxa"/>
            <w:shd w:val="clear" w:color="auto" w:fill="F2F2F2" w:themeFill="background1" w:themeFillShade="F2"/>
            <w:vAlign w:val="center"/>
          </w:tcPr>
          <w:p w:rsidRPr="00B93D94" w:rsidR="00AC04F7" w:rsidP="00C9180F" w:rsidRDefault="00B93D94" w14:paraId="2887B963" w14:textId="2DC0692D">
            <w:pPr>
              <w:spacing w:before="120" w:after="120"/>
              <w:rPr>
                <w:b/>
                <w:bCs/>
              </w:rPr>
            </w:pPr>
            <w:r w:rsidRPr="00B93D94">
              <w:rPr>
                <w:b/>
                <w:bCs/>
              </w:rPr>
              <w:t xml:space="preserve">RPL Evidence </w:t>
            </w:r>
            <w:r w:rsidRPr="00B93D94" w:rsidR="00D323D1">
              <w:rPr>
                <w:b/>
                <w:bCs/>
              </w:rPr>
              <w:t>Evaluation (Comment)</w:t>
            </w:r>
          </w:p>
        </w:tc>
      </w:tr>
      <w:tr w:rsidR="00D323D1" w:rsidTr="0009536A" w14:paraId="07B31DB7" w14:textId="77777777">
        <w:tc>
          <w:tcPr>
            <w:tcW w:w="3114" w:type="dxa"/>
            <w:vAlign w:val="center"/>
          </w:tcPr>
          <w:p w:rsidRPr="00B93D94" w:rsidR="00D323D1" w:rsidP="00C9180F" w:rsidRDefault="008B7824" w14:paraId="0C189B6D" w14:textId="5BCF7F9F">
            <w:pPr>
              <w:spacing w:before="120" w:after="120"/>
              <w:rPr>
                <w:b/>
                <w:bCs/>
              </w:rPr>
            </w:pPr>
            <w:r w:rsidRPr="00B93D94">
              <w:rPr>
                <w:b/>
                <w:bCs/>
              </w:rPr>
              <w:t>Knowledge – breadth</w:t>
            </w:r>
          </w:p>
        </w:tc>
        <w:tc>
          <w:tcPr>
            <w:tcW w:w="4819" w:type="dxa"/>
            <w:vAlign w:val="center"/>
          </w:tcPr>
          <w:p w:rsidR="00D323D1" w:rsidP="00C9180F" w:rsidRDefault="007878E7" w14:paraId="270F54B4" w14:textId="5DC43310">
            <w:pPr>
              <w:spacing w:before="120" w:after="120"/>
            </w:pPr>
            <w:r>
              <w:t>An understanding of the theory, concepts and methods pertaining to a field (or fields) of learning</w:t>
            </w:r>
          </w:p>
        </w:tc>
        <w:tc>
          <w:tcPr>
            <w:tcW w:w="6015" w:type="dxa"/>
            <w:vAlign w:val="center"/>
          </w:tcPr>
          <w:p w:rsidR="00D323D1" w:rsidP="00C9180F" w:rsidRDefault="00C87ECA" w14:paraId="12314866" w14:textId="53D05639">
            <w:pPr>
              <w:spacing w:before="120" w:after="120"/>
            </w:pPr>
            <w:r>
              <w:t xml:space="preserve">The candidate is employed in </w:t>
            </w:r>
            <w:proofErr w:type="spellStart"/>
            <w:r>
              <w:t>Saolta</w:t>
            </w:r>
            <w:proofErr w:type="spellEnd"/>
            <w:r>
              <w:t xml:space="preserve"> University Healthcare Group as a Data Analytics Lead and his current job </w:t>
            </w:r>
            <w:commentRangeStart w:id="0"/>
            <w:r>
              <w:t xml:space="preserve">description </w:t>
            </w:r>
            <w:commentRangeEnd w:id="0"/>
            <w:r w:rsidR="00F10779">
              <w:rPr>
                <w:rStyle w:val="CommentReference"/>
              </w:rPr>
              <w:commentReference w:id="0"/>
            </w:r>
            <w:r>
              <w:t xml:space="preserve">demonstrates an understanding of data, analysis and within the healthcare context. He has been working </w:t>
            </w:r>
            <w:r w:rsidR="00DD11B9">
              <w:t xml:space="preserve">with the HSE for the last three years in the field of data analytics. </w:t>
            </w:r>
          </w:p>
        </w:tc>
      </w:tr>
      <w:tr w:rsidR="00D323D1" w:rsidTr="0009536A" w14:paraId="2E975B4D" w14:textId="77777777">
        <w:tc>
          <w:tcPr>
            <w:tcW w:w="3114" w:type="dxa"/>
            <w:vAlign w:val="center"/>
          </w:tcPr>
          <w:p w:rsidRPr="00B93D94" w:rsidR="00D323D1" w:rsidP="00C9180F" w:rsidRDefault="00001C6A" w14:paraId="37210AE5" w14:textId="3542A6C4">
            <w:pPr>
              <w:spacing w:before="120" w:after="120"/>
              <w:rPr>
                <w:b/>
                <w:bCs/>
              </w:rPr>
            </w:pPr>
            <w:r w:rsidRPr="00B93D94">
              <w:rPr>
                <w:b/>
                <w:bCs/>
              </w:rPr>
              <w:t xml:space="preserve">Knowledge – </w:t>
            </w:r>
            <w:r w:rsidR="0009536A">
              <w:rPr>
                <w:b/>
                <w:bCs/>
              </w:rPr>
              <w:t>k</w:t>
            </w:r>
            <w:r w:rsidRPr="00B93D94">
              <w:rPr>
                <w:b/>
                <w:bCs/>
              </w:rPr>
              <w:t>ind</w:t>
            </w:r>
          </w:p>
        </w:tc>
        <w:tc>
          <w:tcPr>
            <w:tcW w:w="4819" w:type="dxa"/>
            <w:vAlign w:val="center"/>
          </w:tcPr>
          <w:p w:rsidR="00D323D1" w:rsidP="00C9180F" w:rsidRDefault="00256B73" w14:paraId="09ABB236" w14:textId="1C8BB7E1">
            <w:pPr>
              <w:spacing w:before="120" w:after="120"/>
            </w:pPr>
            <w:r>
              <w:t>Detailed knowledge and understanding in one or more specialised areas, some of it at the current boundaries of the field(s)</w:t>
            </w:r>
          </w:p>
        </w:tc>
        <w:tc>
          <w:tcPr>
            <w:tcW w:w="6015" w:type="dxa"/>
            <w:vAlign w:val="center"/>
          </w:tcPr>
          <w:p w:rsidR="00D323D1" w:rsidP="00C9180F" w:rsidRDefault="00DD11B9" w14:paraId="1AE06BE1" w14:textId="01466230">
            <w:pPr>
              <w:spacing w:before="120" w:after="120"/>
            </w:pPr>
            <w:r>
              <w:t xml:space="preserve">The candidate is widely acknowledged as an expert in the patient-administration system and data analytics, as evidenced by his reference letter from his </w:t>
            </w:r>
            <w:commentRangeStart w:id="1"/>
            <w:r>
              <w:t xml:space="preserve">General Manager </w:t>
            </w:r>
            <w:commentRangeEnd w:id="1"/>
            <w:r w:rsidR="00675315">
              <w:rPr>
                <w:rStyle w:val="CommentReference"/>
              </w:rPr>
              <w:commentReference w:id="1"/>
            </w:r>
            <w:r>
              <w:t xml:space="preserve">of the Business Intelligence Unit at </w:t>
            </w:r>
            <w:proofErr w:type="spellStart"/>
            <w:r>
              <w:t>Saolta</w:t>
            </w:r>
            <w:proofErr w:type="spellEnd"/>
            <w:r>
              <w:t xml:space="preserve"> University Healthcare Group.</w:t>
            </w:r>
          </w:p>
        </w:tc>
      </w:tr>
      <w:tr w:rsidR="00D323D1" w:rsidTr="0009536A" w14:paraId="2759F6B4" w14:textId="77777777">
        <w:tc>
          <w:tcPr>
            <w:tcW w:w="3114" w:type="dxa"/>
            <w:vAlign w:val="center"/>
          </w:tcPr>
          <w:p w:rsidRPr="00B93D94" w:rsidR="00D323D1" w:rsidP="00C9180F" w:rsidRDefault="00001C6A" w14:paraId="7A56B699" w14:textId="7BC9A4E5">
            <w:pPr>
              <w:spacing w:before="120" w:after="120"/>
              <w:rPr>
                <w:b/>
                <w:bCs/>
              </w:rPr>
            </w:pPr>
            <w:r w:rsidRPr="00B93D94">
              <w:rPr>
                <w:b/>
                <w:bCs/>
              </w:rPr>
              <w:t>K</w:t>
            </w:r>
            <w:r w:rsidRPr="00B93D94" w:rsidR="00A676F4">
              <w:rPr>
                <w:b/>
                <w:bCs/>
              </w:rPr>
              <w:t>now-how and skill-range</w:t>
            </w:r>
          </w:p>
        </w:tc>
        <w:tc>
          <w:tcPr>
            <w:tcW w:w="4819" w:type="dxa"/>
            <w:vAlign w:val="center"/>
          </w:tcPr>
          <w:p w:rsidR="00D323D1" w:rsidP="00C9180F" w:rsidRDefault="00256B73" w14:paraId="6BA80E7B" w14:textId="45BBC274">
            <w:pPr>
              <w:spacing w:before="120" w:after="120"/>
            </w:pPr>
            <w:r>
              <w:t>Demonstrate mastery of a complex and specialised area of skills and tools; use and modify advanced skills and tools to conduct closely guided research, professional or advanced technical activity</w:t>
            </w:r>
          </w:p>
        </w:tc>
        <w:tc>
          <w:tcPr>
            <w:tcW w:w="6015" w:type="dxa"/>
            <w:vAlign w:val="center"/>
          </w:tcPr>
          <w:p w:rsidR="00D323D1" w:rsidP="00C9180F" w:rsidRDefault="004E5109" w14:paraId="29406B1D" w14:textId="3AA7C512">
            <w:pPr>
              <w:spacing w:before="120" w:after="120"/>
            </w:pPr>
            <w:r>
              <w:t xml:space="preserve">The candidate uses advanced data analytics tools and programming language on a daily basis in his current role. Evidence of this can be seen in the candidates’ </w:t>
            </w:r>
            <w:commentRangeStart w:id="2"/>
            <w:r>
              <w:t xml:space="preserve">technical assignment. </w:t>
            </w:r>
            <w:commentRangeEnd w:id="2"/>
            <w:r w:rsidR="00736CEF">
              <w:rPr>
                <w:rStyle w:val="CommentReference"/>
              </w:rPr>
              <w:commentReference w:id="2"/>
            </w:r>
          </w:p>
        </w:tc>
      </w:tr>
      <w:tr w:rsidR="00D323D1" w:rsidTr="0009536A" w14:paraId="0DE3C1BC" w14:textId="77777777">
        <w:tc>
          <w:tcPr>
            <w:tcW w:w="3114" w:type="dxa"/>
            <w:vAlign w:val="center"/>
          </w:tcPr>
          <w:p w:rsidRPr="00B93D94" w:rsidR="00D323D1" w:rsidP="00C9180F" w:rsidRDefault="00C37FE0" w14:paraId="222E9EB6" w14:textId="4DD1369A">
            <w:pPr>
              <w:spacing w:before="120" w:after="120"/>
              <w:rPr>
                <w:b/>
                <w:bCs/>
              </w:rPr>
            </w:pPr>
            <w:r w:rsidRPr="00B93D94">
              <w:rPr>
                <w:b/>
                <w:bCs/>
              </w:rPr>
              <w:t>Know-how and skill</w:t>
            </w:r>
            <w:r w:rsidR="00C821D4">
              <w:rPr>
                <w:b/>
                <w:bCs/>
              </w:rPr>
              <w:t>-</w:t>
            </w:r>
            <w:r w:rsidRPr="00B93D94">
              <w:rPr>
                <w:b/>
                <w:bCs/>
              </w:rPr>
              <w:t>selectivity</w:t>
            </w:r>
          </w:p>
        </w:tc>
        <w:tc>
          <w:tcPr>
            <w:tcW w:w="4819" w:type="dxa"/>
            <w:vAlign w:val="center"/>
          </w:tcPr>
          <w:p w:rsidR="00D323D1" w:rsidP="00C9180F" w:rsidRDefault="00256B73" w14:paraId="718B802F" w14:textId="240D8EB7">
            <w:pPr>
              <w:spacing w:before="120" w:after="120"/>
            </w:pPr>
            <w:r>
              <w:t>Exercise appropriate judgement in a number of complex planning, design, technical and/ or management functions related to products, services, operations or processes, including resourcing</w:t>
            </w:r>
          </w:p>
        </w:tc>
        <w:tc>
          <w:tcPr>
            <w:tcW w:w="6015" w:type="dxa"/>
            <w:vAlign w:val="center"/>
          </w:tcPr>
          <w:p w:rsidR="00D323D1" w:rsidP="00C9180F" w:rsidRDefault="004E5109" w14:paraId="0FC183A3" w14:textId="2C80D3A3">
            <w:pPr>
              <w:spacing w:before="120" w:after="120"/>
            </w:pPr>
            <w:r>
              <w:t>The candidate</w:t>
            </w:r>
            <w:r w:rsidRPr="004E5109">
              <w:t xml:space="preserve"> is responsible for managing the weekly extracts of hospital waiting list data (100,000+ patient level entries) to the National Treatment Purchase Fund (NTPF)</w:t>
            </w:r>
            <w:r>
              <w:t xml:space="preserve"> and </w:t>
            </w:r>
            <w:r w:rsidRPr="004E5109">
              <w:t xml:space="preserve">developed a data quality initiative for waiting list management which is in use across the </w:t>
            </w:r>
            <w:proofErr w:type="spellStart"/>
            <w:r w:rsidRPr="004E5109">
              <w:t>Saolta</w:t>
            </w:r>
            <w:proofErr w:type="spellEnd"/>
            <w:r w:rsidRPr="004E5109">
              <w:t xml:space="preserve"> Group and was recognised by th</w:t>
            </w:r>
            <w:r>
              <w:t xml:space="preserve">e </w:t>
            </w:r>
            <w:r w:rsidRPr="004E5109">
              <w:t>NTPF as the gold standard in data quality management and was recommended for roll out nationally.</w:t>
            </w:r>
          </w:p>
        </w:tc>
      </w:tr>
      <w:tr w:rsidR="00D323D1" w:rsidTr="0009536A" w14:paraId="2232ECA5" w14:textId="77777777">
        <w:tc>
          <w:tcPr>
            <w:tcW w:w="3114" w:type="dxa"/>
            <w:vAlign w:val="center"/>
          </w:tcPr>
          <w:p w:rsidRPr="00B93D94" w:rsidR="00D323D1" w:rsidP="00C9180F" w:rsidRDefault="00176473" w14:paraId="74F91884" w14:textId="39953B4F">
            <w:pPr>
              <w:spacing w:before="120" w:after="120"/>
              <w:rPr>
                <w:b/>
                <w:bCs/>
              </w:rPr>
            </w:pPr>
            <w:r w:rsidRPr="00B93D94">
              <w:rPr>
                <w:b/>
                <w:bCs/>
              </w:rPr>
              <w:t>Competence – context</w:t>
            </w:r>
          </w:p>
        </w:tc>
        <w:tc>
          <w:tcPr>
            <w:tcW w:w="4819" w:type="dxa"/>
            <w:vAlign w:val="center"/>
          </w:tcPr>
          <w:p w:rsidR="00D323D1" w:rsidP="00C9180F" w:rsidRDefault="00256B73" w14:paraId="132E6F60" w14:textId="741BF614">
            <w:pPr>
              <w:spacing w:before="120" w:after="120"/>
            </w:pPr>
            <w:r>
              <w:t>Use advanced skills to conduct research, or advanced technical or professional activity, accepting accountability for all related decision making; transfer and apply diagnostic and creative skills in a range of contexts</w:t>
            </w:r>
          </w:p>
        </w:tc>
        <w:tc>
          <w:tcPr>
            <w:tcW w:w="6015" w:type="dxa"/>
            <w:vAlign w:val="center"/>
          </w:tcPr>
          <w:p w:rsidR="00D323D1" w:rsidP="00C9180F" w:rsidRDefault="004E5109" w14:paraId="77736D3E" w14:textId="2C139B05">
            <w:pPr>
              <w:spacing w:before="120" w:after="120"/>
            </w:pPr>
            <w:r w:rsidRPr="004E5109">
              <w:t xml:space="preserve">Using his advanced </w:t>
            </w:r>
            <w:commentRangeStart w:id="3"/>
            <w:r w:rsidRPr="004E5109">
              <w:t>SQL skills</w:t>
            </w:r>
            <w:commentRangeEnd w:id="3"/>
            <w:r w:rsidR="00C461CC">
              <w:rPr>
                <w:rStyle w:val="CommentReference"/>
              </w:rPr>
              <w:commentReference w:id="3"/>
            </w:r>
            <w:r w:rsidRPr="004E5109">
              <w:t xml:space="preserve">, </w:t>
            </w:r>
            <w:r>
              <w:t>the candidate</w:t>
            </w:r>
            <w:r w:rsidRPr="004E5109">
              <w:t xml:space="preserve"> has developed numerous reports which are used across multiple hospital departments for both operational and management proposes. </w:t>
            </w:r>
            <w:r>
              <w:t>Mr O’Dowd</w:t>
            </w:r>
            <w:r w:rsidRPr="004E5109">
              <w:t xml:space="preserve"> combines his expert technical skills with his in-depth </w:t>
            </w:r>
            <w:r w:rsidRPr="004E5109">
              <w:t>knowledge of business and systems processes to develop practical solutions for users</w:t>
            </w:r>
            <w:r>
              <w:t>.</w:t>
            </w:r>
          </w:p>
        </w:tc>
      </w:tr>
      <w:tr w:rsidR="00D323D1" w:rsidTr="0009536A" w14:paraId="5DD623D2" w14:textId="77777777">
        <w:tc>
          <w:tcPr>
            <w:tcW w:w="3114" w:type="dxa"/>
            <w:vAlign w:val="center"/>
          </w:tcPr>
          <w:p w:rsidRPr="00B93D94" w:rsidR="00D323D1" w:rsidP="00C9180F" w:rsidRDefault="00B7193C" w14:paraId="651CCCDD" w14:textId="2A09B671">
            <w:pPr>
              <w:spacing w:before="120" w:after="120"/>
              <w:rPr>
                <w:b/>
                <w:bCs/>
              </w:rPr>
            </w:pPr>
            <w:r w:rsidRPr="00B93D94">
              <w:rPr>
                <w:b/>
                <w:bCs/>
              </w:rPr>
              <w:t>Competence – role</w:t>
            </w:r>
          </w:p>
        </w:tc>
        <w:tc>
          <w:tcPr>
            <w:tcW w:w="4819" w:type="dxa"/>
            <w:vAlign w:val="center"/>
          </w:tcPr>
          <w:p w:rsidR="00D323D1" w:rsidP="00C9180F" w:rsidRDefault="0009536A" w14:paraId="1CEC28CF" w14:textId="0D21AA5F">
            <w:pPr>
              <w:spacing w:before="120" w:after="120"/>
            </w:pPr>
            <w:r>
              <w:t>Act effectively under guidance in a peer relationship with qualified practitioners; lead multiple, complex and heterogeneous groups</w:t>
            </w:r>
          </w:p>
        </w:tc>
        <w:tc>
          <w:tcPr>
            <w:tcW w:w="6015" w:type="dxa"/>
            <w:vAlign w:val="center"/>
          </w:tcPr>
          <w:p w:rsidR="004E5109" w:rsidP="00C9180F" w:rsidRDefault="004E5109" w14:paraId="2AE63D9B" w14:textId="775E0772">
            <w:pPr>
              <w:spacing w:before="120" w:after="120"/>
            </w:pPr>
            <w:r>
              <w:t>Based on his references, the candidate has demonstrated excellent</w:t>
            </w:r>
            <w:r w:rsidRPr="004E5109">
              <w:t xml:space="preserve"> leadership </w:t>
            </w:r>
            <w:r>
              <w:t>and</w:t>
            </w:r>
            <w:r w:rsidRPr="004E5109">
              <w:t xml:space="preserve"> communication skills</w:t>
            </w:r>
            <w:r>
              <w:t>. The candidate is considered</w:t>
            </w:r>
            <w:r w:rsidRPr="004E5109">
              <w:t xml:space="preserve"> to be an expert in data analytics and is the top-performing employee in his field in </w:t>
            </w:r>
            <w:proofErr w:type="spellStart"/>
            <w:r w:rsidRPr="004E5109">
              <w:t>Saolta</w:t>
            </w:r>
            <w:proofErr w:type="spellEnd"/>
            <w:r w:rsidRPr="004E5109">
              <w:t xml:space="preserve"> Group</w:t>
            </w:r>
            <w:r>
              <w:t xml:space="preserve">, demonstrating strong relationships with a range of stakeholders in the </w:t>
            </w:r>
            <w:commentRangeStart w:id="4"/>
            <w:r>
              <w:t>healthcare sector</w:t>
            </w:r>
            <w:commentRangeEnd w:id="4"/>
            <w:r w:rsidR="00C461CC">
              <w:rPr>
                <w:rStyle w:val="CommentReference"/>
              </w:rPr>
              <w:commentReference w:id="4"/>
            </w:r>
            <w:r>
              <w:t xml:space="preserve">. </w:t>
            </w:r>
          </w:p>
        </w:tc>
      </w:tr>
      <w:tr w:rsidR="00D323D1" w:rsidTr="0009536A" w14:paraId="41A282D4" w14:textId="77777777">
        <w:tc>
          <w:tcPr>
            <w:tcW w:w="3114" w:type="dxa"/>
            <w:vAlign w:val="center"/>
          </w:tcPr>
          <w:p w:rsidRPr="00B93D94" w:rsidR="00D323D1" w:rsidP="00C9180F" w:rsidRDefault="00C31F37" w14:paraId="763D09F1" w14:textId="7DE45876">
            <w:pPr>
              <w:spacing w:before="120" w:after="120"/>
              <w:rPr>
                <w:b/>
                <w:bCs/>
              </w:rPr>
            </w:pPr>
            <w:r w:rsidRPr="00B93D94">
              <w:rPr>
                <w:b/>
                <w:bCs/>
              </w:rPr>
              <w:t>Competence – learning to learn</w:t>
            </w:r>
          </w:p>
        </w:tc>
        <w:tc>
          <w:tcPr>
            <w:tcW w:w="4819" w:type="dxa"/>
            <w:vAlign w:val="center"/>
          </w:tcPr>
          <w:p w:rsidR="00D323D1" w:rsidP="00C9180F" w:rsidRDefault="0009536A" w14:paraId="1EB36C92" w14:textId="09A3151F">
            <w:pPr>
              <w:spacing w:before="120" w:after="120"/>
            </w:pPr>
            <w:r>
              <w:t>Learn to act in variable and unfamiliar learning contexts; learn to manage learning tasks independently, professionally and ethically</w:t>
            </w:r>
          </w:p>
        </w:tc>
        <w:tc>
          <w:tcPr>
            <w:tcW w:w="6015" w:type="dxa"/>
            <w:vAlign w:val="center"/>
          </w:tcPr>
          <w:p w:rsidR="00D323D1" w:rsidP="00C9180F" w:rsidRDefault="002D55A4" w14:paraId="6458E6FE" w14:textId="023C884A">
            <w:pPr>
              <w:spacing w:before="120" w:after="120"/>
            </w:pPr>
            <w:r>
              <w:t>The candidates work</w:t>
            </w:r>
            <w:r w:rsidRPr="002D55A4">
              <w:t xml:space="preserve"> include complex SQL decision making in relation to multiple wait time rules and calculation</w:t>
            </w:r>
            <w:r>
              <w:t>, which he developed and manages independently</w:t>
            </w:r>
            <w:r w:rsidRPr="002D55A4">
              <w:t xml:space="preserve">. </w:t>
            </w:r>
            <w:r>
              <w:t>He is</w:t>
            </w:r>
            <w:r w:rsidRPr="002D55A4">
              <w:t xml:space="preserve"> considered a subject matter expert in this area by the NTPF. The provision of this data is essential to key objectives of the HSE, including equity of access for patients to healthcare, hospital performance management, decision making and access to funding.</w:t>
            </w:r>
          </w:p>
        </w:tc>
      </w:tr>
      <w:tr w:rsidR="00C31F37" w:rsidTr="0009536A" w14:paraId="559A6A8A" w14:textId="77777777">
        <w:tc>
          <w:tcPr>
            <w:tcW w:w="3114" w:type="dxa"/>
            <w:vAlign w:val="center"/>
          </w:tcPr>
          <w:p w:rsidRPr="00B93D94" w:rsidR="00C31F37" w:rsidP="00C9180F" w:rsidRDefault="00C31F37" w14:paraId="63FCA0CD" w14:textId="28467C7F">
            <w:pPr>
              <w:spacing w:before="120" w:after="120"/>
              <w:rPr>
                <w:b/>
                <w:bCs/>
              </w:rPr>
            </w:pPr>
            <w:r w:rsidRPr="00B93D94">
              <w:rPr>
                <w:b/>
                <w:bCs/>
              </w:rPr>
              <w:t>Competence – insight</w:t>
            </w:r>
          </w:p>
        </w:tc>
        <w:tc>
          <w:tcPr>
            <w:tcW w:w="4819" w:type="dxa"/>
            <w:vAlign w:val="center"/>
          </w:tcPr>
          <w:p w:rsidR="00C31F37" w:rsidP="00C9180F" w:rsidRDefault="0009536A" w14:paraId="6DB1CFFB" w14:textId="689C5AEB">
            <w:pPr>
              <w:spacing w:before="120" w:after="120"/>
            </w:pPr>
            <w:r>
              <w:t>Express a comprehensive, internalised, personal world view manifesting solidarity with others</w:t>
            </w:r>
          </w:p>
        </w:tc>
        <w:tc>
          <w:tcPr>
            <w:tcW w:w="6015" w:type="dxa"/>
            <w:vAlign w:val="center"/>
          </w:tcPr>
          <w:p w:rsidR="00C31F37" w:rsidP="00C9180F" w:rsidRDefault="002D55A4" w14:paraId="5984C585" w14:textId="17526781">
            <w:pPr>
              <w:spacing w:before="120" w:after="120"/>
            </w:pPr>
            <w:r>
              <w:t xml:space="preserve">Based on informal conversations with the </w:t>
            </w:r>
            <w:commentRangeStart w:id="5"/>
            <w:r>
              <w:t>candidate</w:t>
            </w:r>
            <w:commentRangeEnd w:id="5"/>
            <w:r w:rsidR="001D4BF9">
              <w:rPr>
                <w:rStyle w:val="CommentReference"/>
              </w:rPr>
              <w:commentReference w:id="5"/>
            </w:r>
            <w:r>
              <w:t xml:space="preserve">, he demonstrated excellent competence and insight into the challenges that our healthcare sector is facing with regards to big data, the need for innovation in data analytics and advancement in data management for effective hospital operational processes. </w:t>
            </w:r>
          </w:p>
        </w:tc>
      </w:tr>
    </w:tbl>
    <w:p w:rsidR="008E51A0" w:rsidRDefault="008E51A0" w14:paraId="0DF91204" w14:textId="324B209C"/>
    <w:sectPr w:rsidR="008E51A0" w:rsidSect="00AC04F7">
      <w:footerReference w:type="default" r:id="rId11"/>
      <w:pgSz w:w="16838" w:h="11906" w:orient="landscape"/>
      <w:pgMar w:top="1247" w:right="1440" w:bottom="124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GG" w:author="Graham Glanville" w:date="2024-08-30T13:16:00Z" w:id="0">
    <w:p w:rsidR="00F10779" w:rsidRDefault="00F10779" w14:paraId="14E89895" w14:textId="17511548">
      <w:pPr>
        <w:pStyle w:val="CommentText"/>
      </w:pPr>
      <w:r>
        <w:rPr>
          <w:rStyle w:val="CommentReference"/>
        </w:rPr>
        <w:annotationRef/>
      </w:r>
      <w:r>
        <w:t>Can we include this job description here?</w:t>
      </w:r>
    </w:p>
  </w:comment>
  <w:comment w:initials="GG" w:author="Graham Glanville" w:date="2024-08-30T13:17:00Z" w:id="1">
    <w:p w:rsidR="00675315" w:rsidRDefault="00675315" w14:paraId="7C16AFAF" w14:textId="47F826D9">
      <w:pPr>
        <w:pStyle w:val="CommentText"/>
      </w:pPr>
      <w:r>
        <w:rPr>
          <w:rStyle w:val="CommentReference"/>
        </w:rPr>
        <w:annotationRef/>
      </w:r>
      <w:r>
        <w:t>Could we include just one line from this reference letter to back this up?</w:t>
      </w:r>
    </w:p>
  </w:comment>
  <w:comment w:initials="GG" w:author="Graham Glanville" w:date="2024-08-30T13:17:00Z" w:id="2">
    <w:p w:rsidR="00736CEF" w:rsidRDefault="00736CEF" w14:paraId="57B61318" w14:textId="2C5217DC">
      <w:pPr>
        <w:pStyle w:val="CommentText"/>
      </w:pPr>
      <w:r>
        <w:rPr>
          <w:rStyle w:val="CommentReference"/>
        </w:rPr>
        <w:annotationRef/>
      </w:r>
      <w:r>
        <w:t>Could we expand on the technical assignment, as in what we asked the candidate to do?</w:t>
      </w:r>
    </w:p>
  </w:comment>
  <w:comment w:initials="GG" w:author="Graham Glanville" w:date="2024-08-30T13:18:00Z" w:id="3">
    <w:p w:rsidR="00C461CC" w:rsidRDefault="00C461CC" w14:paraId="1C94CBBC" w14:textId="0BD9504B">
      <w:pPr>
        <w:pStyle w:val="CommentText"/>
      </w:pPr>
      <w:r>
        <w:rPr>
          <w:rStyle w:val="CommentReference"/>
        </w:rPr>
        <w:annotationRef/>
      </w:r>
      <w:r>
        <w:t>Perhaps in brackets state how important SQL is for the programme they are applying for…</w:t>
      </w:r>
    </w:p>
  </w:comment>
  <w:comment w:initials="GG" w:author="Graham Glanville" w:date="2024-08-30T13:19:00Z" w:id="4">
    <w:p w:rsidR="00C461CC" w:rsidRDefault="00C461CC" w14:paraId="2AE9FC3A" w14:textId="4BDD92A1">
      <w:pPr>
        <w:pStyle w:val="CommentText"/>
      </w:pPr>
      <w:r>
        <w:rPr>
          <w:rStyle w:val="CommentReference"/>
        </w:rPr>
        <w:annotationRef/>
      </w:r>
      <w:r>
        <w:t xml:space="preserve">Perhaps </w:t>
      </w:r>
      <w:r w:rsidR="00692AEA">
        <w:t>mention how many years of service the candidate has in the sector….</w:t>
      </w:r>
    </w:p>
  </w:comment>
  <w:comment w:initials="GG" w:author="Graham Glanville" w:date="2024-08-30T13:20:00Z" w:id="5">
    <w:p w:rsidR="001D4BF9" w:rsidRDefault="001D4BF9" w14:paraId="4DFAB67E" w14:textId="3E187829">
      <w:pPr>
        <w:pStyle w:val="CommentText"/>
      </w:pPr>
      <w:r>
        <w:rPr>
          <w:rStyle w:val="CommentReference"/>
        </w:rPr>
        <w:annotationRef/>
      </w:r>
      <w:r>
        <w:t>Just put a time period in brackets here, i.e. May to June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E89895" w15:done="0"/>
  <w15:commentEx w15:paraId="7C16AFAF" w15:done="0"/>
  <w15:commentEx w15:paraId="57B61318" w15:done="0"/>
  <w15:commentEx w15:paraId="1C94CBBC" w15:done="0"/>
  <w15:commentEx w15:paraId="2AE9FC3A" w15:done="0"/>
  <w15:commentEx w15:paraId="4DFAB6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C449F" w16cex:dateUtc="2024-08-30T12:16:00Z"/>
  <w16cex:commentExtensible w16cex:durableId="2A7C44E4" w16cex:dateUtc="2024-08-30T12:17:00Z"/>
  <w16cex:commentExtensible w16cex:durableId="2A7C4506" w16cex:dateUtc="2024-08-30T12:17:00Z"/>
  <w16cex:commentExtensible w16cex:durableId="2A7C4534" w16cex:dateUtc="2024-08-30T12:18:00Z"/>
  <w16cex:commentExtensible w16cex:durableId="2A7C455D" w16cex:dateUtc="2024-08-30T12:19:00Z"/>
  <w16cex:commentExtensible w16cex:durableId="2A7C458B" w16cex:dateUtc="2024-08-30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E89895" w16cid:durableId="2A7C449F"/>
  <w16cid:commentId w16cid:paraId="7C16AFAF" w16cid:durableId="2A7C44E4"/>
  <w16cid:commentId w16cid:paraId="57B61318" w16cid:durableId="2A7C4506"/>
  <w16cid:commentId w16cid:paraId="1C94CBBC" w16cid:durableId="2A7C4534"/>
  <w16cid:commentId w16cid:paraId="2AE9FC3A" w16cid:durableId="2A7C455D"/>
  <w16cid:commentId w16cid:paraId="4DFAB67E" w16cid:durableId="2A7C4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4625" w:rsidP="00FF5991" w:rsidRDefault="00A74625" w14:paraId="5F2E9143" w14:textId="77777777">
      <w:pPr>
        <w:spacing w:after="0" w:line="240" w:lineRule="auto"/>
      </w:pPr>
      <w:r>
        <w:separator/>
      </w:r>
    </w:p>
  </w:endnote>
  <w:endnote w:type="continuationSeparator" w:id="0">
    <w:p w:rsidR="00A74625" w:rsidP="00FF5991" w:rsidRDefault="00A74625" w14:paraId="28F55F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5991" w:rsidR="00FF5991" w:rsidP="00FF5991" w:rsidRDefault="00FF5991" w14:paraId="705DD86F" w14:textId="47C26F0C">
    <w:pPr>
      <w:pStyle w:val="Footer"/>
      <w:tabs>
        <w:tab w:val="clear" w:pos="9026"/>
        <w:tab w:val="right" w:pos="13892"/>
      </w:tabs>
      <w:rPr>
        <w:b/>
        <w:bCs/>
        <w:sz w:val="20"/>
        <w:szCs w:val="20"/>
      </w:rPr>
    </w:pPr>
    <w:r w:rsidRPr="00FF5991">
      <w:rPr>
        <w:b/>
        <w:bCs/>
        <w:sz w:val="20"/>
        <w:szCs w:val="20"/>
      </w:rPr>
      <w:t xml:space="preserve">Level </w:t>
    </w:r>
    <w:r w:rsidR="005F7A0A">
      <w:rPr>
        <w:b/>
        <w:bCs/>
        <w:sz w:val="20"/>
        <w:szCs w:val="20"/>
      </w:rPr>
      <w:t>8</w:t>
    </w:r>
    <w:r w:rsidRPr="00FF5991">
      <w:rPr>
        <w:b/>
        <w:bCs/>
        <w:sz w:val="20"/>
        <w:szCs w:val="20"/>
      </w:rPr>
      <w:t xml:space="preserve"> Award Rubric</w:t>
    </w:r>
    <w:r w:rsidRPr="00FF5991">
      <w:rPr>
        <w:b/>
        <w:bCs/>
        <w:sz w:val="20"/>
        <w:szCs w:val="20"/>
      </w:rPr>
      <w:tab/>
    </w:r>
    <w:r w:rsidRPr="00FF5991">
      <w:rPr>
        <w:b/>
        <w:bCs/>
        <w:sz w:val="20"/>
        <w:szCs w:val="20"/>
      </w:rPr>
      <w:tab/>
    </w:r>
    <w:r w:rsidRPr="00FF5991">
      <w:rPr>
        <w:b/>
        <w:bCs/>
        <w:sz w:val="20"/>
        <w:szCs w:val="20"/>
      </w:rPr>
      <w:t xml:space="preserve">Page </w:t>
    </w:r>
    <w:r w:rsidRPr="00FF5991">
      <w:rPr>
        <w:b/>
        <w:bCs/>
        <w:sz w:val="20"/>
        <w:szCs w:val="20"/>
      </w:rPr>
      <w:fldChar w:fldCharType="begin"/>
    </w:r>
    <w:r w:rsidRPr="00FF5991">
      <w:rPr>
        <w:b/>
        <w:bCs/>
        <w:sz w:val="20"/>
        <w:szCs w:val="20"/>
      </w:rPr>
      <w:instrText xml:space="preserve"> PAGE  \* Arabic  \* MERGEFORMAT </w:instrText>
    </w:r>
    <w:r w:rsidRPr="00FF5991">
      <w:rPr>
        <w:b/>
        <w:bCs/>
        <w:sz w:val="20"/>
        <w:szCs w:val="20"/>
      </w:rPr>
      <w:fldChar w:fldCharType="separate"/>
    </w:r>
    <w:r w:rsidRPr="00FF5991">
      <w:rPr>
        <w:b/>
        <w:bCs/>
        <w:noProof/>
        <w:sz w:val="20"/>
        <w:szCs w:val="20"/>
      </w:rPr>
      <w:t>1</w:t>
    </w:r>
    <w:r w:rsidRPr="00FF5991">
      <w:rPr>
        <w:b/>
        <w:bCs/>
        <w:sz w:val="20"/>
        <w:szCs w:val="20"/>
      </w:rPr>
      <w:fldChar w:fldCharType="end"/>
    </w:r>
    <w:r w:rsidRPr="00FF5991">
      <w:rPr>
        <w:b/>
        <w:bCs/>
        <w:sz w:val="20"/>
        <w:szCs w:val="20"/>
      </w:rPr>
      <w:t xml:space="preserve"> of </w:t>
    </w:r>
    <w:r w:rsidRPr="00FF5991">
      <w:rPr>
        <w:b/>
        <w:bCs/>
        <w:sz w:val="20"/>
        <w:szCs w:val="20"/>
      </w:rPr>
      <w:fldChar w:fldCharType="begin"/>
    </w:r>
    <w:r w:rsidRPr="00FF5991">
      <w:rPr>
        <w:b/>
        <w:bCs/>
        <w:sz w:val="20"/>
        <w:szCs w:val="20"/>
      </w:rPr>
      <w:instrText xml:space="preserve"> NUMPAGES  \* Arabic  \* MERGEFORMAT </w:instrText>
    </w:r>
    <w:r w:rsidRPr="00FF5991">
      <w:rPr>
        <w:b/>
        <w:bCs/>
        <w:sz w:val="20"/>
        <w:szCs w:val="20"/>
      </w:rPr>
      <w:fldChar w:fldCharType="separate"/>
    </w:r>
    <w:r w:rsidRPr="00FF5991">
      <w:rPr>
        <w:b/>
        <w:bCs/>
        <w:noProof/>
        <w:sz w:val="20"/>
        <w:szCs w:val="20"/>
      </w:rPr>
      <w:t>2</w:t>
    </w:r>
    <w:r w:rsidRPr="00FF5991">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4625" w:rsidP="00FF5991" w:rsidRDefault="00A74625" w14:paraId="2FCA730D" w14:textId="77777777">
      <w:pPr>
        <w:spacing w:after="0" w:line="240" w:lineRule="auto"/>
      </w:pPr>
      <w:r>
        <w:separator/>
      </w:r>
    </w:p>
  </w:footnote>
  <w:footnote w:type="continuationSeparator" w:id="0">
    <w:p w:rsidR="00A74625" w:rsidP="00FF5991" w:rsidRDefault="00A74625" w14:paraId="6BDC6A8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24BD9"/>
    <w:multiLevelType w:val="hybridMultilevel"/>
    <w:tmpl w:val="1EB8D46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6935068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ham Glanville">
    <w15:presenceInfo w15:providerId="AD" w15:userId="S::GLANVILG@tcd.ie::22daa599-d8c9-46c2-8da0-71a0cd9dc45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FF"/>
    <w:rsid w:val="00001C6A"/>
    <w:rsid w:val="0009536A"/>
    <w:rsid w:val="000A05FF"/>
    <w:rsid w:val="000C31F3"/>
    <w:rsid w:val="00176473"/>
    <w:rsid w:val="001D4BF9"/>
    <w:rsid w:val="00256B73"/>
    <w:rsid w:val="00287FA5"/>
    <w:rsid w:val="002D55A4"/>
    <w:rsid w:val="00322A86"/>
    <w:rsid w:val="004E5109"/>
    <w:rsid w:val="004F5240"/>
    <w:rsid w:val="005A4328"/>
    <w:rsid w:val="005A56CE"/>
    <w:rsid w:val="005B4382"/>
    <w:rsid w:val="005F7A0A"/>
    <w:rsid w:val="006249CC"/>
    <w:rsid w:val="00650335"/>
    <w:rsid w:val="00675315"/>
    <w:rsid w:val="00692AEA"/>
    <w:rsid w:val="006A2225"/>
    <w:rsid w:val="00736CEF"/>
    <w:rsid w:val="00753B3F"/>
    <w:rsid w:val="007878E7"/>
    <w:rsid w:val="008A1DBA"/>
    <w:rsid w:val="008B7824"/>
    <w:rsid w:val="008E51A0"/>
    <w:rsid w:val="008E5CD0"/>
    <w:rsid w:val="009D6497"/>
    <w:rsid w:val="009E0413"/>
    <w:rsid w:val="009F3AC7"/>
    <w:rsid w:val="00A24886"/>
    <w:rsid w:val="00A50209"/>
    <w:rsid w:val="00A676F4"/>
    <w:rsid w:val="00A74625"/>
    <w:rsid w:val="00A812F8"/>
    <w:rsid w:val="00AC04F7"/>
    <w:rsid w:val="00B32732"/>
    <w:rsid w:val="00B7193C"/>
    <w:rsid w:val="00B93D94"/>
    <w:rsid w:val="00C31F37"/>
    <w:rsid w:val="00C37FE0"/>
    <w:rsid w:val="00C461CC"/>
    <w:rsid w:val="00C821D4"/>
    <w:rsid w:val="00C87ECA"/>
    <w:rsid w:val="00C9180F"/>
    <w:rsid w:val="00CB00F0"/>
    <w:rsid w:val="00D10B05"/>
    <w:rsid w:val="00D323D1"/>
    <w:rsid w:val="00D74119"/>
    <w:rsid w:val="00DD11B9"/>
    <w:rsid w:val="00E3226E"/>
    <w:rsid w:val="00EC17E2"/>
    <w:rsid w:val="00F10779"/>
    <w:rsid w:val="00F7028B"/>
    <w:rsid w:val="00FF5991"/>
    <w:rsid w:val="17947366"/>
    <w:rsid w:val="33F6507C"/>
    <w:rsid w:val="652D98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7100"/>
  <w15:chartTrackingRefBased/>
  <w15:docId w15:val="{45108F38-E60B-479D-8ED0-E24D14634E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A56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F59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5991"/>
  </w:style>
  <w:style w:type="paragraph" w:styleId="Footer">
    <w:name w:val="footer"/>
    <w:basedOn w:val="Normal"/>
    <w:link w:val="FooterChar"/>
    <w:uiPriority w:val="99"/>
    <w:unhideWhenUsed/>
    <w:rsid w:val="00FF59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5991"/>
  </w:style>
  <w:style w:type="paragraph" w:styleId="ListParagraph">
    <w:name w:val="List Paragraph"/>
    <w:basedOn w:val="Normal"/>
    <w:uiPriority w:val="34"/>
    <w:qFormat/>
    <w:rsid w:val="006249CC"/>
    <w:pPr>
      <w:ind w:left="720"/>
      <w:contextualSpacing/>
    </w:pPr>
  </w:style>
  <w:style w:type="character" w:styleId="CommentReference">
    <w:name w:val="Comment Reference"/>
    <w:basedOn w:val="DefaultParagraphFont"/>
    <w:uiPriority w:val="99"/>
    <w:semiHidden/>
    <w:unhideWhenUsed/>
    <w:rsid w:val="00F10779"/>
    <w:rPr>
      <w:sz w:val="16"/>
      <w:szCs w:val="16"/>
    </w:rPr>
  </w:style>
  <w:style w:type="paragraph" w:styleId="CommentText">
    <w:name w:val="Comment Text"/>
    <w:basedOn w:val="Normal"/>
    <w:link w:val="CommentTextChar"/>
    <w:uiPriority w:val="99"/>
    <w:semiHidden/>
    <w:unhideWhenUsed/>
    <w:rsid w:val="00F10779"/>
    <w:pPr>
      <w:spacing w:line="240" w:lineRule="auto"/>
    </w:pPr>
    <w:rPr>
      <w:sz w:val="20"/>
      <w:szCs w:val="20"/>
    </w:rPr>
  </w:style>
  <w:style w:type="character" w:styleId="CommentTextChar" w:customStyle="1">
    <w:name w:val="Comment Text Char"/>
    <w:basedOn w:val="DefaultParagraphFont"/>
    <w:link w:val="CommentText"/>
    <w:uiPriority w:val="99"/>
    <w:semiHidden/>
    <w:rsid w:val="00F10779"/>
    <w:rPr>
      <w:sz w:val="20"/>
      <w:szCs w:val="20"/>
    </w:rPr>
  </w:style>
  <w:style w:type="paragraph" w:styleId="CommentSubject">
    <w:name w:val="Comment Subject"/>
    <w:basedOn w:val="CommentText"/>
    <w:next w:val="CommentText"/>
    <w:link w:val="CommentSubjectChar"/>
    <w:uiPriority w:val="99"/>
    <w:semiHidden/>
    <w:unhideWhenUsed/>
    <w:rsid w:val="00F10779"/>
    <w:rPr>
      <w:b/>
      <w:bCs/>
    </w:rPr>
  </w:style>
  <w:style w:type="character" w:styleId="CommentSubjectChar" w:customStyle="1">
    <w:name w:val="Comment Subject Char"/>
    <w:basedOn w:val="CommentTextChar"/>
    <w:link w:val="CommentSubject"/>
    <w:uiPriority w:val="99"/>
    <w:semiHidden/>
    <w:rsid w:val="00F107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E144F26B717429280471BAAF5AA23" ma:contentTypeVersion="17" ma:contentTypeDescription="Create a new document." ma:contentTypeScope="" ma:versionID="99004e238a4ab5f4f1a3ecd825a3fed9">
  <xsd:schema xmlns:xsd="http://www.w3.org/2001/XMLSchema" xmlns:xs="http://www.w3.org/2001/XMLSchema" xmlns:p="http://schemas.microsoft.com/office/2006/metadata/properties" xmlns:ns2="9661b5ac-9343-473c-9a4a-8b926bb68c7e" xmlns:ns3="5e1f11e3-3540-4a98-9804-4a4800ff0d05" targetNamespace="http://schemas.microsoft.com/office/2006/metadata/properties" ma:root="true" ma:fieldsID="63c3460b949b7d64de63ab15c8676e65" ns2:_="" ns3:_="">
    <xsd:import namespace="9661b5ac-9343-473c-9a4a-8b926bb68c7e"/>
    <xsd:import namespace="5e1f11e3-3540-4a98-9804-4a4800ff0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1b5ac-9343-473c-9a4a-8b926bb6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1f11e3-3540-4a98-9804-4a4800ff0d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779b34-3a11-4be1-b04d-84d907f1f43c}" ma:internalName="TaxCatchAll" ma:showField="CatchAllData" ma:web="5e1f11e3-3540-4a98-9804-4a4800ff0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1b5ac-9343-473c-9a4a-8b926bb68c7e">
      <Terms xmlns="http://schemas.microsoft.com/office/infopath/2007/PartnerControls"/>
    </lcf76f155ced4ddcb4097134ff3c332f>
    <TaxCatchAll xmlns="5e1f11e3-3540-4a98-9804-4a4800ff0d05" xsi:nil="true"/>
  </documentManagement>
</p:properties>
</file>

<file path=customXml/itemProps1.xml><?xml version="1.0" encoding="utf-8"?>
<ds:datastoreItem xmlns:ds="http://schemas.openxmlformats.org/officeDocument/2006/customXml" ds:itemID="{10653715-6E46-4B2B-81DF-9CF8EA543BB2}"/>
</file>

<file path=customXml/itemProps2.xml><?xml version="1.0" encoding="utf-8"?>
<ds:datastoreItem xmlns:ds="http://schemas.openxmlformats.org/officeDocument/2006/customXml" ds:itemID="{AF11959B-10EA-4A05-B0A7-8304C8AEFE9F}"/>
</file>

<file path=customXml/itemProps3.xml><?xml version="1.0" encoding="utf-8"?>
<ds:datastoreItem xmlns:ds="http://schemas.openxmlformats.org/officeDocument/2006/customXml" ds:itemID="{7FC88AA4-218F-4E64-89EA-A7525CDAC4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Graham Glanville</dc:creator>
  <keywords/>
  <dc:description/>
  <lastModifiedBy>Cormac Doran</lastModifiedBy>
  <revision>9</revision>
  <dcterms:created xsi:type="dcterms:W3CDTF">2024-08-30T12:17:00.0000000Z</dcterms:created>
  <dcterms:modified xsi:type="dcterms:W3CDTF">2026-03-12T09:26:07.0423620Z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0x010100CADE144F26B717429280471BAAF5AA23</vt:lpwstr>
  </property>
</Properties>
</file>